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9204A">
      <w:pPr>
        <w:autoSpaceDE/>
        <w:autoSpaceDN/>
        <w:snapToGrid w:val="0"/>
        <w:spacing w:line="600" w:lineRule="exact"/>
        <w:jc w:val="center"/>
        <w:rPr>
          <w:rFonts w:hint="eastAsia" w:ascii="方正小标宋_GBK" w:hAnsi="方正小标宋_GBK" w:eastAsia="方正小标宋_GBK" w:cs="方正小标宋_GBK"/>
          <w:color w:val="000000"/>
          <w:kern w:val="2"/>
          <w:sz w:val="44"/>
          <w:szCs w:val="44"/>
          <w:lang w:val="en-US" w:bidi="ar-SA"/>
        </w:rPr>
      </w:pPr>
      <w:r>
        <w:rPr>
          <w:rFonts w:hint="eastAsia" w:ascii="方正小标宋_GBK" w:hAnsi="方正小标宋_GBK" w:eastAsia="方正小标宋_GBK" w:cs="方正小标宋_GBK"/>
          <w:color w:val="000000"/>
          <w:kern w:val="2"/>
          <w:sz w:val="44"/>
          <w:szCs w:val="44"/>
          <w:lang w:val="en-US" w:eastAsia="zh-CN" w:bidi="ar-SA"/>
        </w:rPr>
        <w:t>2026</w:t>
      </w:r>
      <w:r>
        <w:rPr>
          <w:rFonts w:hint="eastAsia" w:ascii="方正小标宋_GBK" w:hAnsi="方正小标宋_GBK" w:eastAsia="方正小标宋_GBK" w:cs="方正小标宋_GBK"/>
          <w:color w:val="000000"/>
          <w:kern w:val="2"/>
          <w:sz w:val="44"/>
          <w:szCs w:val="44"/>
          <w:lang w:val="en-US" w:bidi="ar-SA"/>
        </w:rPr>
        <w:t>年南通市消防应急灯具产品</w:t>
      </w:r>
    </w:p>
    <w:p w14:paraId="51187E09">
      <w:pPr>
        <w:autoSpaceDE/>
        <w:autoSpaceDN/>
        <w:snapToGrid w:val="0"/>
        <w:spacing w:line="600" w:lineRule="exact"/>
        <w:jc w:val="center"/>
        <w:rPr>
          <w:rFonts w:ascii="方正仿宋_GBK" w:hAnsi="方正仿宋_GBK" w:eastAsia="方正仿宋_GBK" w:cs="方正仿宋_GBK"/>
          <w:kern w:val="2"/>
          <w:sz w:val="44"/>
          <w:szCs w:val="44"/>
          <w:lang w:val="en-US" w:bidi="ar-SA"/>
        </w:rPr>
      </w:pPr>
      <w:r>
        <w:rPr>
          <w:rFonts w:hint="eastAsia" w:ascii="方正小标宋_GBK" w:hAnsi="方正小标宋_GBK" w:eastAsia="方正小标宋_GBK" w:cs="方正小标宋_GBK"/>
          <w:color w:val="000000"/>
          <w:kern w:val="2"/>
          <w:sz w:val="44"/>
          <w:szCs w:val="44"/>
          <w:lang w:val="en-US" w:bidi="ar-SA"/>
        </w:rPr>
        <w:t>质量监督抽查实施细则</w:t>
      </w:r>
    </w:p>
    <w:p w14:paraId="2401323B">
      <w:pPr>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1.范围</w:t>
      </w:r>
    </w:p>
    <w:p w14:paraId="57811427">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本细则适用于南通市市场监督管理局组织的消防应急灯具产品质量监督抽查。本细则规定了此产品的抽样方法、检验依据、检验项目、检验方法、判定原则、异议处理及复检。</w:t>
      </w:r>
    </w:p>
    <w:p w14:paraId="0867EB3A">
      <w:pPr>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2.抽样方法</w:t>
      </w:r>
    </w:p>
    <w:p w14:paraId="14F25439">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生产企业抽样、实体店抽样</w:t>
      </w:r>
    </w:p>
    <w:p w14:paraId="051A8F58">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kern w:val="2"/>
          <w:sz w:val="32"/>
          <w:szCs w:val="32"/>
          <w:lang w:val="en-US" w:bidi="ar-SA"/>
        </w:rPr>
        <w:t>在受检企业的成品仓库或者其确认场所，随机抽取有产品质量检验合格证明或者其他形式表明合格的待销产品，</w:t>
      </w:r>
      <w:r>
        <w:rPr>
          <w:rFonts w:hint="eastAsia" w:ascii="方正仿宋_GBK" w:hAnsi="方正仿宋_GBK" w:eastAsia="方正仿宋_GBK" w:cs="方正仿宋_GBK"/>
          <w:sz w:val="32"/>
          <w:szCs w:val="32"/>
        </w:rPr>
        <w:t>抽样基数应满足抽样要求。抽样过程均需拍照留证。一经抽样，立即封样，任何人不得调换。</w:t>
      </w:r>
    </w:p>
    <w:p w14:paraId="03645A66">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kern w:val="2"/>
          <w:sz w:val="32"/>
          <w:szCs w:val="32"/>
          <w:lang w:val="en-US" w:bidi="ar-SA"/>
        </w:rPr>
        <w:t>消防应急灯具</w:t>
      </w:r>
      <w:r>
        <w:rPr>
          <w:rFonts w:hint="eastAsia" w:ascii="方正仿宋_GBK" w:hAnsi="方正仿宋_GBK" w:eastAsia="方正仿宋_GBK" w:cs="方正仿宋_GBK"/>
          <w:sz w:val="32"/>
          <w:szCs w:val="32"/>
        </w:rPr>
        <w:t>产品抽样数量为</w:t>
      </w:r>
      <w:r>
        <w:rPr>
          <w:rFonts w:hint="eastAsia" w:ascii="方正仿宋_GBK" w:hAnsi="方正仿宋_GBK" w:eastAsia="方正仿宋_GBK" w:cs="方正仿宋_GBK"/>
          <w:kern w:val="2"/>
          <w:sz w:val="32"/>
          <w:szCs w:val="32"/>
          <w:lang w:val="en-US" w:eastAsia="zh-CN" w:bidi="ar-SA"/>
        </w:rPr>
        <w:t>3</w:t>
      </w:r>
      <w:r>
        <w:rPr>
          <w:rFonts w:hint="eastAsia" w:ascii="方正仿宋_GBK" w:hAnsi="方正仿宋_GBK" w:eastAsia="方正仿宋_GBK" w:cs="方正仿宋_GBK"/>
          <w:kern w:val="2"/>
          <w:sz w:val="32"/>
          <w:szCs w:val="32"/>
          <w:lang w:val="en-US" w:bidi="ar-SA"/>
        </w:rPr>
        <w:t>只</w:t>
      </w:r>
      <w:r>
        <w:rPr>
          <w:rFonts w:hint="eastAsia" w:ascii="方正仿宋_GBK" w:hAnsi="方正仿宋_GBK" w:eastAsia="方正仿宋_GBK" w:cs="方正仿宋_GBK"/>
          <w:sz w:val="32"/>
          <w:szCs w:val="32"/>
        </w:rPr>
        <w:t>，其中</w:t>
      </w:r>
      <w:r>
        <w:rPr>
          <w:rFonts w:ascii="方正仿宋_GBK" w:hAnsi="方正仿宋_GBK" w:eastAsia="方正仿宋_GBK" w:cs="方正仿宋_GBK"/>
          <w:kern w:val="2"/>
          <w:sz w:val="32"/>
          <w:szCs w:val="32"/>
          <w:lang w:bidi="ar-SA"/>
        </w:rPr>
        <w:t>2</w:t>
      </w:r>
      <w:r>
        <w:rPr>
          <w:rFonts w:hint="eastAsia" w:ascii="方正仿宋_GBK" w:hAnsi="方正仿宋_GBK" w:eastAsia="方正仿宋_GBK" w:cs="方正仿宋_GBK"/>
          <w:kern w:val="2"/>
          <w:sz w:val="32"/>
          <w:szCs w:val="32"/>
          <w:lang w:val="en-US" w:bidi="ar-SA"/>
        </w:rPr>
        <w:t>只</w:t>
      </w:r>
      <w:r>
        <w:rPr>
          <w:rFonts w:hint="eastAsia" w:ascii="方正仿宋_GBK" w:hAnsi="方正仿宋_GBK" w:eastAsia="方正仿宋_GBK" w:cs="方正仿宋_GBK"/>
          <w:sz w:val="32"/>
          <w:szCs w:val="32"/>
        </w:rPr>
        <w:t>作为检验样品，另</w:t>
      </w:r>
      <w:r>
        <w:rPr>
          <w:rFonts w:hint="eastAsia" w:ascii="方正仿宋_GBK" w:hAnsi="方正仿宋_GBK" w:eastAsia="方正仿宋_GBK" w:cs="方正仿宋_GBK"/>
          <w:kern w:val="2"/>
          <w:sz w:val="32"/>
          <w:szCs w:val="32"/>
          <w:lang w:val="en-US" w:eastAsia="zh-CN" w:bidi="ar-SA"/>
        </w:rPr>
        <w:t>1</w:t>
      </w:r>
      <w:r>
        <w:rPr>
          <w:rFonts w:hint="eastAsia" w:ascii="方正仿宋_GBK" w:hAnsi="方正仿宋_GBK" w:eastAsia="方正仿宋_GBK" w:cs="方正仿宋_GBK"/>
          <w:kern w:val="2"/>
          <w:sz w:val="32"/>
          <w:szCs w:val="32"/>
          <w:lang w:val="en-US" w:bidi="ar-SA"/>
        </w:rPr>
        <w:t>只</w:t>
      </w:r>
      <w:r>
        <w:rPr>
          <w:rFonts w:hint="eastAsia" w:ascii="方正仿宋_GBK" w:hAnsi="方正仿宋_GBK" w:eastAsia="方正仿宋_GBK" w:cs="方正仿宋_GBK"/>
          <w:sz w:val="32"/>
          <w:szCs w:val="32"/>
        </w:rPr>
        <w:t>作为备用样品，备用样品留存于被抽样单位，由被抽样单位负责妥善保管。</w:t>
      </w:r>
    </w:p>
    <w:p w14:paraId="528AE971">
      <w:pPr>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3.检验依据</w:t>
      </w:r>
    </w:p>
    <w:p w14:paraId="75F30849">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检验项目及检验依据见表1。</w:t>
      </w:r>
    </w:p>
    <w:p w14:paraId="6E267908">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表1</w:t>
      </w:r>
      <w:bookmarkStart w:id="0" w:name="_GoBack"/>
      <w:bookmarkEnd w:id="0"/>
      <w:r>
        <w:rPr>
          <w:rFonts w:hint="eastAsia" w:ascii="方正仿宋_GBK" w:hAnsi="方正仿宋_GBK" w:eastAsia="方正仿宋_GBK" w:cs="方正仿宋_GBK"/>
          <w:kern w:val="2"/>
          <w:sz w:val="32"/>
          <w:szCs w:val="32"/>
          <w:lang w:val="en-US" w:bidi="ar-SA"/>
        </w:rPr>
        <w:t>消防应急灯具产品检验项目</w:t>
      </w:r>
    </w:p>
    <w:tbl>
      <w:tblPr>
        <w:tblStyle w:val="13"/>
        <w:tblW w:w="908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9"/>
        <w:gridCol w:w="4421"/>
        <w:gridCol w:w="1930"/>
        <w:gridCol w:w="1903"/>
      </w:tblGrid>
      <w:tr w14:paraId="11EFAF0E">
        <w:trPr>
          <w:trHeight w:val="600" w:hRule="atLeast"/>
          <w:jc w:val="center"/>
        </w:trPr>
        <w:tc>
          <w:tcPr>
            <w:tcW w:w="829" w:type="dxa"/>
            <w:vMerge w:val="restart"/>
            <w:vAlign w:val="center"/>
          </w:tcPr>
          <w:p w14:paraId="04659A7A">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序号</w:t>
            </w:r>
          </w:p>
        </w:tc>
        <w:tc>
          <w:tcPr>
            <w:tcW w:w="4421" w:type="dxa"/>
            <w:vMerge w:val="restart"/>
            <w:vAlign w:val="center"/>
          </w:tcPr>
          <w:p w14:paraId="5BFB9C46">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检验项目</w:t>
            </w:r>
          </w:p>
        </w:tc>
        <w:tc>
          <w:tcPr>
            <w:tcW w:w="1930" w:type="dxa"/>
            <w:vMerge w:val="restart"/>
            <w:vAlign w:val="center"/>
          </w:tcPr>
          <w:p w14:paraId="14A1A9E5">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判定依据</w:t>
            </w:r>
          </w:p>
        </w:tc>
        <w:tc>
          <w:tcPr>
            <w:tcW w:w="1903" w:type="dxa"/>
            <w:vMerge w:val="restart"/>
            <w:vAlign w:val="center"/>
          </w:tcPr>
          <w:p w14:paraId="5D983331">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检测方法</w:t>
            </w:r>
          </w:p>
        </w:tc>
      </w:tr>
      <w:tr w14:paraId="3023E30F">
        <w:trPr>
          <w:trHeight w:val="600" w:hRule="atLeast"/>
          <w:jc w:val="center"/>
        </w:trPr>
        <w:tc>
          <w:tcPr>
            <w:tcW w:w="829" w:type="dxa"/>
            <w:vMerge w:val="continue"/>
            <w:tcBorders>
              <w:top w:val="nil"/>
            </w:tcBorders>
            <w:vAlign w:val="center"/>
          </w:tcPr>
          <w:p w14:paraId="4A665882">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c>
          <w:tcPr>
            <w:tcW w:w="4421" w:type="dxa"/>
            <w:vMerge w:val="continue"/>
            <w:tcBorders>
              <w:top w:val="nil"/>
            </w:tcBorders>
            <w:vAlign w:val="center"/>
          </w:tcPr>
          <w:p w14:paraId="208C51D1">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c>
          <w:tcPr>
            <w:tcW w:w="1930" w:type="dxa"/>
            <w:vMerge w:val="continue"/>
            <w:tcBorders>
              <w:top w:val="nil"/>
            </w:tcBorders>
            <w:vAlign w:val="center"/>
          </w:tcPr>
          <w:p w14:paraId="4C014EDD">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c>
          <w:tcPr>
            <w:tcW w:w="1903" w:type="dxa"/>
            <w:vMerge w:val="continue"/>
            <w:tcBorders>
              <w:top w:val="nil"/>
            </w:tcBorders>
            <w:vAlign w:val="center"/>
          </w:tcPr>
          <w:p w14:paraId="76FC7986">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r>
      <w:tr w14:paraId="0D6C17DF">
        <w:trPr>
          <w:trHeight w:val="83" w:hRule="atLeast"/>
          <w:jc w:val="center"/>
        </w:trPr>
        <w:tc>
          <w:tcPr>
            <w:tcW w:w="829" w:type="dxa"/>
            <w:vAlign w:val="center"/>
          </w:tcPr>
          <w:p w14:paraId="250969AE">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1</w:t>
            </w:r>
          </w:p>
        </w:tc>
        <w:tc>
          <w:tcPr>
            <w:tcW w:w="4421" w:type="dxa"/>
            <w:vAlign w:val="center"/>
          </w:tcPr>
          <w:p w14:paraId="07F29BB1">
            <w:pPr>
              <w:autoSpaceDE/>
              <w:autoSpaceDN/>
              <w:spacing w:line="600" w:lineRule="exact"/>
              <w:jc w:val="center"/>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外观</w:t>
            </w:r>
          </w:p>
        </w:tc>
        <w:tc>
          <w:tcPr>
            <w:tcW w:w="1930" w:type="dxa"/>
            <w:vMerge w:val="restart"/>
            <w:vAlign w:val="center"/>
          </w:tcPr>
          <w:p w14:paraId="32C1E90D">
            <w:pPr>
              <w:autoSpaceDE/>
              <w:autoSpaceDN/>
              <w:spacing w:line="600" w:lineRule="exact"/>
              <w:jc w:val="center"/>
              <w:rPr>
                <w:rFonts w:hint="default"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sz w:val="32"/>
                <w:szCs w:val="32"/>
              </w:rPr>
              <w:t>GB 17945-</w:t>
            </w:r>
            <w:r>
              <w:rPr>
                <w:rFonts w:hint="eastAsia" w:ascii="方正仿宋_GBK" w:hAnsi="方正仿宋_GBK" w:eastAsia="方正仿宋_GBK" w:cs="方正仿宋_GBK"/>
                <w:sz w:val="32"/>
                <w:szCs w:val="32"/>
                <w:lang w:val="en-US" w:eastAsia="zh-CN"/>
              </w:rPr>
              <w:t>2024</w:t>
            </w:r>
          </w:p>
        </w:tc>
        <w:tc>
          <w:tcPr>
            <w:tcW w:w="1903" w:type="dxa"/>
            <w:vMerge w:val="restart"/>
            <w:vAlign w:val="center"/>
          </w:tcPr>
          <w:p w14:paraId="5C079201">
            <w:pPr>
              <w:autoSpaceDE/>
              <w:autoSpaceDN/>
              <w:spacing w:line="600" w:lineRule="exact"/>
              <w:jc w:val="center"/>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sz w:val="32"/>
                <w:szCs w:val="32"/>
              </w:rPr>
              <w:t>GB 17945-</w:t>
            </w:r>
            <w:r>
              <w:rPr>
                <w:rFonts w:hint="eastAsia" w:ascii="方正仿宋_GBK" w:hAnsi="方正仿宋_GBK" w:eastAsia="方正仿宋_GBK" w:cs="方正仿宋_GBK"/>
                <w:sz w:val="32"/>
                <w:szCs w:val="32"/>
                <w:lang w:eastAsia="zh-CN"/>
              </w:rPr>
              <w:t>2024</w:t>
            </w:r>
          </w:p>
        </w:tc>
      </w:tr>
      <w:tr w14:paraId="4F21BF33">
        <w:trPr>
          <w:trHeight w:val="83" w:hRule="atLeast"/>
          <w:jc w:val="center"/>
        </w:trPr>
        <w:tc>
          <w:tcPr>
            <w:tcW w:w="829" w:type="dxa"/>
            <w:vAlign w:val="center"/>
          </w:tcPr>
          <w:p w14:paraId="3A3D0AE0">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2</w:t>
            </w:r>
          </w:p>
        </w:tc>
        <w:tc>
          <w:tcPr>
            <w:tcW w:w="4421" w:type="dxa"/>
            <w:vAlign w:val="center"/>
          </w:tcPr>
          <w:p w14:paraId="48BF87CD">
            <w:pPr>
              <w:autoSpaceDE/>
              <w:autoSpaceDN/>
              <w:spacing w:line="600" w:lineRule="exact"/>
              <w:jc w:val="center"/>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标志和使用说明书</w:t>
            </w:r>
          </w:p>
        </w:tc>
        <w:tc>
          <w:tcPr>
            <w:tcW w:w="1930" w:type="dxa"/>
            <w:vMerge w:val="continue"/>
            <w:vAlign w:val="center"/>
          </w:tcPr>
          <w:p w14:paraId="2AE9F67F">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c>
          <w:tcPr>
            <w:tcW w:w="1903" w:type="dxa"/>
            <w:vMerge w:val="continue"/>
            <w:vAlign w:val="center"/>
          </w:tcPr>
          <w:p w14:paraId="764EC58A">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r>
      <w:tr w14:paraId="36A091E3">
        <w:trPr>
          <w:trHeight w:val="83" w:hRule="atLeast"/>
          <w:jc w:val="center"/>
        </w:trPr>
        <w:tc>
          <w:tcPr>
            <w:tcW w:w="829" w:type="dxa"/>
            <w:vAlign w:val="center"/>
          </w:tcPr>
          <w:p w14:paraId="4C5D0B9A">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3</w:t>
            </w:r>
          </w:p>
        </w:tc>
        <w:tc>
          <w:tcPr>
            <w:tcW w:w="4421" w:type="dxa"/>
            <w:vAlign w:val="center"/>
          </w:tcPr>
          <w:p w14:paraId="318EBBA2">
            <w:pPr>
              <w:autoSpaceDE/>
              <w:autoSpaceDN/>
              <w:spacing w:line="600" w:lineRule="exact"/>
              <w:jc w:val="center"/>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灯具的基本功能试验（照明灯具、标志灯具、光源工作状态保持功能检查、电源转换功能检查</w:t>
            </w:r>
            <w:r>
              <w:rPr>
                <w:rFonts w:hint="eastAsia" w:ascii="方正仿宋_GBK" w:hAnsi="方正仿宋_GBK" w:eastAsia="方正仿宋_GBK" w:cs="方正仿宋_GBK"/>
                <w:kern w:val="2"/>
                <w:sz w:val="32"/>
                <w:szCs w:val="32"/>
                <w:lang w:val="en-US" w:eastAsia="zh-CN" w:bidi="ar-SA"/>
              </w:rPr>
              <w:t>、</w:t>
            </w:r>
            <w:r>
              <w:rPr>
                <w:rFonts w:hint="eastAsia" w:ascii="方正仿宋_GBK" w:hAnsi="方正仿宋_GBK" w:eastAsia="方正仿宋_GBK" w:cs="方正仿宋_GBK"/>
                <w:kern w:val="2"/>
                <w:sz w:val="32"/>
                <w:szCs w:val="32"/>
                <w:lang w:val="en-US" w:bidi="ar-SA"/>
              </w:rPr>
              <w:t>最小初装持续应急工作时间检查）</w:t>
            </w:r>
          </w:p>
        </w:tc>
        <w:tc>
          <w:tcPr>
            <w:tcW w:w="1930" w:type="dxa"/>
            <w:vMerge w:val="continue"/>
            <w:vAlign w:val="center"/>
          </w:tcPr>
          <w:p w14:paraId="207F8272">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c>
          <w:tcPr>
            <w:tcW w:w="1903" w:type="dxa"/>
            <w:vMerge w:val="continue"/>
            <w:vAlign w:val="center"/>
          </w:tcPr>
          <w:p w14:paraId="2C0F72B9">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r>
      <w:tr w14:paraId="6F6CC175">
        <w:trPr>
          <w:trHeight w:val="83" w:hRule="atLeast"/>
          <w:jc w:val="center"/>
        </w:trPr>
        <w:tc>
          <w:tcPr>
            <w:tcW w:w="829" w:type="dxa"/>
            <w:vAlign w:val="center"/>
          </w:tcPr>
          <w:p w14:paraId="2BBAD549">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4</w:t>
            </w:r>
          </w:p>
        </w:tc>
        <w:tc>
          <w:tcPr>
            <w:tcW w:w="4421" w:type="dxa"/>
            <w:vAlign w:val="center"/>
          </w:tcPr>
          <w:p w14:paraId="353CA309">
            <w:pPr>
              <w:autoSpaceDE/>
              <w:autoSpaceDN/>
              <w:spacing w:line="600" w:lineRule="exact"/>
              <w:jc w:val="center"/>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灯具的重复转换试验</w:t>
            </w:r>
          </w:p>
        </w:tc>
        <w:tc>
          <w:tcPr>
            <w:tcW w:w="1930" w:type="dxa"/>
            <w:vMerge w:val="continue"/>
            <w:vAlign w:val="center"/>
          </w:tcPr>
          <w:p w14:paraId="523E6939">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c>
          <w:tcPr>
            <w:tcW w:w="1903" w:type="dxa"/>
            <w:vMerge w:val="continue"/>
            <w:vAlign w:val="center"/>
          </w:tcPr>
          <w:p w14:paraId="1243E1B0">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r>
      <w:tr w14:paraId="5C459F77">
        <w:trPr>
          <w:trHeight w:val="83" w:hRule="atLeast"/>
          <w:jc w:val="center"/>
        </w:trPr>
        <w:tc>
          <w:tcPr>
            <w:tcW w:w="829" w:type="dxa"/>
            <w:vAlign w:val="center"/>
          </w:tcPr>
          <w:p w14:paraId="60D85C85">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w:t>
            </w:r>
          </w:p>
        </w:tc>
        <w:tc>
          <w:tcPr>
            <w:tcW w:w="4421" w:type="dxa"/>
            <w:vAlign w:val="center"/>
          </w:tcPr>
          <w:p w14:paraId="2F4A8313">
            <w:pPr>
              <w:autoSpaceDE/>
              <w:autoSpaceDN/>
              <w:spacing w:line="600" w:lineRule="exact"/>
              <w:jc w:val="center"/>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电压波动试验</w:t>
            </w:r>
          </w:p>
        </w:tc>
        <w:tc>
          <w:tcPr>
            <w:tcW w:w="1930" w:type="dxa"/>
            <w:vMerge w:val="continue"/>
            <w:vAlign w:val="center"/>
          </w:tcPr>
          <w:p w14:paraId="76F6F8B9">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c>
          <w:tcPr>
            <w:tcW w:w="1903" w:type="dxa"/>
            <w:vMerge w:val="continue"/>
            <w:vAlign w:val="center"/>
          </w:tcPr>
          <w:p w14:paraId="530398DB">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r>
      <w:tr w14:paraId="1A69ABB9">
        <w:trPr>
          <w:trHeight w:val="83" w:hRule="atLeast"/>
          <w:jc w:val="center"/>
        </w:trPr>
        <w:tc>
          <w:tcPr>
            <w:tcW w:w="829" w:type="dxa"/>
            <w:vAlign w:val="center"/>
          </w:tcPr>
          <w:p w14:paraId="41FBA2D7">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6</w:t>
            </w:r>
          </w:p>
        </w:tc>
        <w:tc>
          <w:tcPr>
            <w:tcW w:w="4421" w:type="dxa"/>
            <w:vAlign w:val="center"/>
          </w:tcPr>
          <w:p w14:paraId="638F6D50">
            <w:pPr>
              <w:autoSpaceDE/>
              <w:autoSpaceDN/>
              <w:spacing w:line="600" w:lineRule="exact"/>
              <w:jc w:val="center"/>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转换电压试验、</w:t>
            </w:r>
          </w:p>
        </w:tc>
        <w:tc>
          <w:tcPr>
            <w:tcW w:w="1930" w:type="dxa"/>
            <w:vMerge w:val="continue"/>
            <w:vAlign w:val="center"/>
          </w:tcPr>
          <w:p w14:paraId="7DAC5483">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c>
          <w:tcPr>
            <w:tcW w:w="1903" w:type="dxa"/>
            <w:vMerge w:val="continue"/>
            <w:vAlign w:val="center"/>
          </w:tcPr>
          <w:p w14:paraId="06067245">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r>
      <w:tr w14:paraId="0392C8E2">
        <w:trPr>
          <w:trHeight w:val="83" w:hRule="atLeast"/>
          <w:jc w:val="center"/>
        </w:trPr>
        <w:tc>
          <w:tcPr>
            <w:tcW w:w="829" w:type="dxa"/>
            <w:vAlign w:val="center"/>
          </w:tcPr>
          <w:p w14:paraId="4F11C334">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7</w:t>
            </w:r>
          </w:p>
        </w:tc>
        <w:tc>
          <w:tcPr>
            <w:tcW w:w="4421" w:type="dxa"/>
            <w:vAlign w:val="center"/>
          </w:tcPr>
          <w:p w14:paraId="0CED489F">
            <w:pPr>
              <w:autoSpaceDE/>
              <w:autoSpaceDN/>
              <w:spacing w:line="600" w:lineRule="exact"/>
              <w:jc w:val="center"/>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绝缘电阻试验</w:t>
            </w:r>
          </w:p>
        </w:tc>
        <w:tc>
          <w:tcPr>
            <w:tcW w:w="1930" w:type="dxa"/>
            <w:vMerge w:val="continue"/>
            <w:vAlign w:val="center"/>
          </w:tcPr>
          <w:p w14:paraId="47EEF0C0">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c>
          <w:tcPr>
            <w:tcW w:w="1903" w:type="dxa"/>
            <w:vMerge w:val="continue"/>
            <w:vAlign w:val="center"/>
          </w:tcPr>
          <w:p w14:paraId="2F30D50D">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r>
      <w:tr w14:paraId="21B56516">
        <w:trPr>
          <w:trHeight w:val="83" w:hRule="atLeast"/>
          <w:jc w:val="center"/>
        </w:trPr>
        <w:tc>
          <w:tcPr>
            <w:tcW w:w="829" w:type="dxa"/>
            <w:vAlign w:val="center"/>
          </w:tcPr>
          <w:p w14:paraId="001877E2">
            <w:pPr>
              <w:autoSpaceDE/>
              <w:autoSpaceDN/>
              <w:spacing w:line="600" w:lineRule="exact"/>
              <w:jc w:val="center"/>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8</w:t>
            </w:r>
          </w:p>
        </w:tc>
        <w:tc>
          <w:tcPr>
            <w:tcW w:w="4421" w:type="dxa"/>
            <w:vAlign w:val="center"/>
          </w:tcPr>
          <w:p w14:paraId="4FDDB826">
            <w:pPr>
              <w:autoSpaceDE/>
              <w:autoSpaceDN/>
              <w:spacing w:line="600" w:lineRule="exact"/>
              <w:jc w:val="center"/>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接地电阻试验</w:t>
            </w:r>
          </w:p>
        </w:tc>
        <w:tc>
          <w:tcPr>
            <w:tcW w:w="1930" w:type="dxa"/>
            <w:vMerge w:val="continue"/>
            <w:vAlign w:val="center"/>
          </w:tcPr>
          <w:p w14:paraId="1E6D7AEB">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c>
          <w:tcPr>
            <w:tcW w:w="1903" w:type="dxa"/>
            <w:vMerge w:val="continue"/>
            <w:vAlign w:val="center"/>
          </w:tcPr>
          <w:p w14:paraId="6ECF3E64">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r>
      <w:tr w14:paraId="3F8BCC65">
        <w:trPr>
          <w:trHeight w:val="83" w:hRule="atLeast"/>
          <w:jc w:val="center"/>
        </w:trPr>
        <w:tc>
          <w:tcPr>
            <w:tcW w:w="829" w:type="dxa"/>
            <w:vAlign w:val="center"/>
          </w:tcPr>
          <w:p w14:paraId="42B16C09">
            <w:pPr>
              <w:autoSpaceDE/>
              <w:autoSpaceDN/>
              <w:spacing w:line="600" w:lineRule="exact"/>
              <w:jc w:val="center"/>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9</w:t>
            </w:r>
          </w:p>
        </w:tc>
        <w:tc>
          <w:tcPr>
            <w:tcW w:w="4421" w:type="dxa"/>
            <w:vAlign w:val="center"/>
          </w:tcPr>
          <w:p w14:paraId="7FC454E4">
            <w:pPr>
              <w:autoSpaceDE/>
              <w:autoSpaceDN/>
              <w:spacing w:line="600" w:lineRule="exact"/>
              <w:jc w:val="center"/>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电气强度试验</w:t>
            </w:r>
          </w:p>
        </w:tc>
        <w:tc>
          <w:tcPr>
            <w:tcW w:w="1930" w:type="dxa"/>
            <w:vMerge w:val="continue"/>
            <w:vAlign w:val="center"/>
          </w:tcPr>
          <w:p w14:paraId="00170E22">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c>
          <w:tcPr>
            <w:tcW w:w="1903" w:type="dxa"/>
            <w:vMerge w:val="continue"/>
            <w:vAlign w:val="center"/>
          </w:tcPr>
          <w:p w14:paraId="4040F039">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p>
        </w:tc>
      </w:tr>
    </w:tbl>
    <w:p w14:paraId="42374FC4">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检验方法包括相关产品标准及试验方法标准。</w:t>
      </w:r>
    </w:p>
    <w:p w14:paraId="3B7FEF24">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凡是注日期的文件，其随后所有的修改单（不包括勘误的内容）或修订版不适用于本细则。凡是不注日期的文件，其最新版本适用于本细则。</w:t>
      </w:r>
    </w:p>
    <w:p w14:paraId="3BC56C5E">
      <w:pPr>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4.判定规则</w:t>
      </w:r>
    </w:p>
    <w:p w14:paraId="04CDFF0D">
      <w:pPr>
        <w:spacing w:line="600" w:lineRule="exact"/>
        <w:ind w:firstLine="640" w:firstLineChars="200"/>
        <w:rPr>
          <w:rFonts w:ascii="方正仿宋_GBK" w:hAnsi="方正仿宋_GBK" w:eastAsia="方正仿宋_GBK" w:cs="方正仿宋_GBK"/>
          <w:sz w:val="32"/>
          <w:szCs w:val="32"/>
        </w:rPr>
      </w:pPr>
      <w:r>
        <w:rPr>
          <w:rFonts w:hint="eastAsia" w:ascii="Times New Roman" w:hAnsi="Times New Roman" w:eastAsia="方正仿宋_GBK"/>
          <w:sz w:val="32"/>
          <w:szCs w:val="32"/>
          <w:shd w:val="clear" w:color="auto" w:fill="FFFFFF"/>
        </w:rPr>
        <w:t>4.1</w:t>
      </w:r>
      <w:r>
        <w:rPr>
          <w:rFonts w:hint="eastAsia" w:ascii="方正仿宋_GBK" w:hAnsi="方正仿宋_GBK" w:eastAsia="方正仿宋_GBK" w:cs="方正仿宋_GBK"/>
          <w:sz w:val="32"/>
          <w:szCs w:val="32"/>
        </w:rPr>
        <w:t>依据标准</w:t>
      </w:r>
    </w:p>
    <w:p w14:paraId="303380F3">
      <w:pPr>
        <w:pStyle w:val="4"/>
        <w:shd w:val="clear" w:color="auto" w:fill="FFFFFF"/>
        <w:spacing w:before="0" w:line="600" w:lineRule="exact"/>
        <w:ind w:firstLine="480" w:firstLineChars="150"/>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 17945-</w:t>
      </w:r>
      <w:r>
        <w:rPr>
          <w:rFonts w:hint="eastAsia" w:ascii="方正仿宋_GBK" w:hAnsi="方正仿宋_GBK" w:eastAsia="方正仿宋_GBK" w:cs="方正仿宋_GBK"/>
          <w:kern w:val="2"/>
          <w:sz w:val="32"/>
          <w:szCs w:val="32"/>
          <w:lang w:val="en-US" w:eastAsia="zh-CN" w:bidi="ar-SA"/>
        </w:rPr>
        <w:t>2024</w:t>
      </w:r>
      <w:r>
        <w:rPr>
          <w:rFonts w:hint="eastAsia" w:ascii="方正仿宋_GBK" w:hAnsi="方正仿宋_GBK" w:eastAsia="方正仿宋_GBK" w:cs="方正仿宋_GBK"/>
          <w:kern w:val="2"/>
          <w:sz w:val="32"/>
          <w:szCs w:val="32"/>
          <w:lang w:val="en-US" w:bidi="ar-SA"/>
        </w:rPr>
        <w:t>《消防应急照明和疏散指示系统》</w:t>
      </w:r>
    </w:p>
    <w:p w14:paraId="7FAEAA06">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现行有效的企业标准、团体标准、地方标准及产品明示质量要求</w:t>
      </w:r>
    </w:p>
    <w:p w14:paraId="781D54F0">
      <w:pPr>
        <w:autoSpaceDE/>
        <w:autoSpaceDN/>
        <w:spacing w:line="600" w:lineRule="exact"/>
        <w:ind w:firstLine="640" w:firstLineChars="200"/>
        <w:jc w:val="both"/>
        <w:rPr>
          <w:rFonts w:ascii="方正仿宋_GBK" w:hAnsi="方正仿宋_GBK" w:eastAsia="方正仿宋_GBK" w:cs="方正仿宋_GBK"/>
          <w:sz w:val="32"/>
          <w:szCs w:val="32"/>
        </w:rPr>
      </w:pPr>
      <w:r>
        <w:rPr>
          <w:rFonts w:hint="eastAsia" w:ascii="Times New Roman" w:hAnsi="Times New Roman" w:eastAsia="方正仿宋_GBK"/>
          <w:sz w:val="32"/>
          <w:szCs w:val="32"/>
          <w:shd w:val="clear" w:color="auto" w:fill="FFFFFF"/>
        </w:rPr>
        <w:t>4.2</w:t>
      </w:r>
      <w:r>
        <w:rPr>
          <w:rFonts w:hint="eastAsia" w:ascii="方正仿宋_GBK" w:hAnsi="方正仿宋_GBK" w:eastAsia="方正仿宋_GBK" w:cs="方正仿宋_GBK"/>
          <w:sz w:val="32"/>
          <w:szCs w:val="32"/>
        </w:rPr>
        <w:t>判定原则</w:t>
      </w:r>
    </w:p>
    <w:p w14:paraId="716B8868">
      <w:pPr>
        <w:autoSpaceDE/>
        <w:autoSpaceDN/>
        <w:spacing w:line="600" w:lineRule="exact"/>
        <w:ind w:firstLine="640" w:firstLineChars="200"/>
        <w:jc w:val="both"/>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经检验，检验项目全部合格，判定为被抽查产品所检项目未发现不合格；检验项目中任一项或一项以上不合格，判定为被抽查产品不合格。</w:t>
      </w:r>
    </w:p>
    <w:p w14:paraId="32BA3A61">
      <w:pPr>
        <w:autoSpaceDE/>
        <w:autoSpaceDN/>
        <w:spacing w:line="600" w:lineRule="exact"/>
        <w:ind w:firstLine="640" w:firstLineChars="200"/>
        <w:jc w:val="both"/>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若被检产品明示的质量要求高于本细则中检验项目依据的标准要求时，应按被检产品明示的质量要求判定。</w:t>
      </w:r>
    </w:p>
    <w:p w14:paraId="3135D04E">
      <w:pPr>
        <w:autoSpaceDE/>
        <w:autoSpaceDN/>
        <w:spacing w:line="600" w:lineRule="exact"/>
        <w:ind w:firstLine="640" w:firstLineChars="200"/>
        <w:jc w:val="both"/>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若被检产品明示的质量要求低于本细则中检验项目依据的强制性标准要求时，应按照强制性标准要求判定。</w:t>
      </w:r>
    </w:p>
    <w:p w14:paraId="43BEC970">
      <w:pPr>
        <w:autoSpaceDE/>
        <w:autoSpaceDN/>
        <w:spacing w:line="600" w:lineRule="exact"/>
        <w:ind w:firstLine="640" w:firstLineChars="200"/>
        <w:jc w:val="both"/>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若被检产品明示的质量要求低于或包含本细则中检验项目依据的推荐性标准要求时，应以被检产品明示的质量要求判定。</w:t>
      </w:r>
    </w:p>
    <w:p w14:paraId="5E1C22A6">
      <w:pPr>
        <w:autoSpaceDE/>
        <w:autoSpaceDN/>
        <w:spacing w:line="600" w:lineRule="exact"/>
        <w:ind w:firstLine="640" w:firstLineChars="200"/>
        <w:jc w:val="both"/>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若被检产品明示的质量要求缺少本细则中检验项目依据的强制性标准要求时，应按照强制性标准要求判定。</w:t>
      </w:r>
    </w:p>
    <w:p w14:paraId="18E32AE9">
      <w:pPr>
        <w:autoSpaceDE/>
        <w:autoSpaceDN/>
        <w:spacing w:line="600" w:lineRule="exact"/>
        <w:ind w:firstLine="640" w:firstLineChars="200"/>
        <w:jc w:val="both"/>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若被检产品明示的质量要求缺少本细则中检验项目依据的推荐性标准要求时，该项目不参与判定。</w:t>
      </w:r>
    </w:p>
    <w:p w14:paraId="77533B77">
      <w:pPr>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5.异议处理</w:t>
      </w:r>
    </w:p>
    <w:p w14:paraId="28CDFF8A">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5.1对监督抽查程序有异议的，由任务下达部门核查相关证据后维持或者撤销原检验结果。</w:t>
      </w:r>
    </w:p>
    <w:p w14:paraId="24123573">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6634FCF">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5.3对样品信息有异议的，任务下达部门核查样品确认情况和生产企业提交证明材料后，维持或者撤销原检验结果。</w:t>
      </w:r>
    </w:p>
    <w:p w14:paraId="54C0D518">
      <w:pPr>
        <w:pStyle w:val="5"/>
        <w:tabs>
          <w:tab w:val="left" w:pos="967"/>
          <w:tab w:val="left" w:pos="969"/>
        </w:tabs>
        <w:spacing w:line="600" w:lineRule="exact"/>
        <w:ind w:left="0" w:firstLine="640" w:firstLineChars="200"/>
        <w:rPr>
          <w:rFonts w:ascii="方正仿宋_GBK" w:hAnsi="方正仿宋_GBK" w:eastAsia="方正仿宋_GBK" w:cs="方正仿宋_GBK"/>
          <w:b w:val="0"/>
          <w:bCs w:val="0"/>
          <w:kern w:val="2"/>
          <w:sz w:val="32"/>
          <w:szCs w:val="3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A00002BF" w:usb1="38CF7CFA" w:usb2="00082016" w:usb3="00000000" w:csb0="00040001" w:csb1="00000000"/>
  </w:font>
  <w:font w:name="方正仿宋_GBK">
    <w:panose1 w:val="02000000000000000000"/>
    <w:charset w:val="86"/>
    <w:family w:val="script"/>
    <w:pitch w:val="default"/>
    <w:sig w:usb0="A00002BF" w:usb1="38CF7CFA" w:usb2="00082016" w:usb3="00000000" w:csb0="00040001" w:csb1="00000000"/>
  </w:font>
  <w:font w:name="方正黑体_GBK">
    <w:altName w:val="汉仪中黑KW"/>
    <w:panose1 w:val="00000000000000000000"/>
    <w:charset w:val="00"/>
    <w:family w:val="auto"/>
    <w:pitch w:val="default"/>
    <w:sig w:usb0="00000000" w:usb1="00000000" w:usb2="00000000" w:usb3="00000000" w:csb0="00040000"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ACDBC">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16A078C6">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2</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16A078C6">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2</w:t>
                    </w:r>
                    <w:r>
                      <w:fldChar w:fldCharType="end"/>
                    </w:r>
                    <w:r>
                      <w:rPr>
                        <w:rFonts w:ascii="Times New Roma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F2C8D"/>
    <w:multiLevelType w:val="multilevel"/>
    <w:tmpl w:val="3E3F2C8D"/>
    <w:lvl w:ilvl="0" w:tentative="0">
      <w:start w:val="1"/>
      <w:numFmt w:val="bullet"/>
      <w:pStyle w:val="20"/>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1NWMxYTJiMzI0OWI1NWU0OTU1MzFhNTMyZGU1NWIifQ=="/>
  </w:docVars>
  <w:rsids>
    <w:rsidRoot w:val="00D74BB0"/>
    <w:rsid w:val="0000650C"/>
    <w:rsid w:val="0003266E"/>
    <w:rsid w:val="00042E52"/>
    <w:rsid w:val="00075D2C"/>
    <w:rsid w:val="00076EDD"/>
    <w:rsid w:val="000831B2"/>
    <w:rsid w:val="000E438C"/>
    <w:rsid w:val="000F1035"/>
    <w:rsid w:val="00114B79"/>
    <w:rsid w:val="00122CB6"/>
    <w:rsid w:val="00164799"/>
    <w:rsid w:val="00164C00"/>
    <w:rsid w:val="001656B3"/>
    <w:rsid w:val="00166C5B"/>
    <w:rsid w:val="001760BA"/>
    <w:rsid w:val="001760E6"/>
    <w:rsid w:val="001C333A"/>
    <w:rsid w:val="001C67A8"/>
    <w:rsid w:val="00257739"/>
    <w:rsid w:val="0027280A"/>
    <w:rsid w:val="002743CE"/>
    <w:rsid w:val="002851E4"/>
    <w:rsid w:val="002B6731"/>
    <w:rsid w:val="002D7400"/>
    <w:rsid w:val="003031BA"/>
    <w:rsid w:val="003175BB"/>
    <w:rsid w:val="0036591F"/>
    <w:rsid w:val="00390722"/>
    <w:rsid w:val="00395BCD"/>
    <w:rsid w:val="003A3D49"/>
    <w:rsid w:val="003D4C42"/>
    <w:rsid w:val="004058B1"/>
    <w:rsid w:val="0040651B"/>
    <w:rsid w:val="00432A23"/>
    <w:rsid w:val="00435ACF"/>
    <w:rsid w:val="004626D2"/>
    <w:rsid w:val="00477D1A"/>
    <w:rsid w:val="00491441"/>
    <w:rsid w:val="00493196"/>
    <w:rsid w:val="004A29D9"/>
    <w:rsid w:val="004B1147"/>
    <w:rsid w:val="004B1CE9"/>
    <w:rsid w:val="00506A7E"/>
    <w:rsid w:val="00531560"/>
    <w:rsid w:val="00533F57"/>
    <w:rsid w:val="00537E82"/>
    <w:rsid w:val="00557205"/>
    <w:rsid w:val="00570CED"/>
    <w:rsid w:val="005833D3"/>
    <w:rsid w:val="005905AF"/>
    <w:rsid w:val="005909AC"/>
    <w:rsid w:val="00611AA6"/>
    <w:rsid w:val="00611E80"/>
    <w:rsid w:val="00614648"/>
    <w:rsid w:val="00621C5C"/>
    <w:rsid w:val="00677155"/>
    <w:rsid w:val="00684D22"/>
    <w:rsid w:val="006B2B20"/>
    <w:rsid w:val="006B3A82"/>
    <w:rsid w:val="007312EA"/>
    <w:rsid w:val="00741CC8"/>
    <w:rsid w:val="0074736E"/>
    <w:rsid w:val="00775579"/>
    <w:rsid w:val="007D6698"/>
    <w:rsid w:val="007F35EE"/>
    <w:rsid w:val="008140ED"/>
    <w:rsid w:val="008225CF"/>
    <w:rsid w:val="008911D7"/>
    <w:rsid w:val="008A359A"/>
    <w:rsid w:val="008F390B"/>
    <w:rsid w:val="008F7C56"/>
    <w:rsid w:val="009034C0"/>
    <w:rsid w:val="00903E92"/>
    <w:rsid w:val="00923C62"/>
    <w:rsid w:val="009249DD"/>
    <w:rsid w:val="00945576"/>
    <w:rsid w:val="009555B3"/>
    <w:rsid w:val="0098052D"/>
    <w:rsid w:val="00A0393C"/>
    <w:rsid w:val="00A13749"/>
    <w:rsid w:val="00A30987"/>
    <w:rsid w:val="00A60356"/>
    <w:rsid w:val="00A61ABB"/>
    <w:rsid w:val="00AA3B6D"/>
    <w:rsid w:val="00AC0C0B"/>
    <w:rsid w:val="00AC3FED"/>
    <w:rsid w:val="00AC5E2F"/>
    <w:rsid w:val="00AE2A65"/>
    <w:rsid w:val="00AF6DC8"/>
    <w:rsid w:val="00B03DD6"/>
    <w:rsid w:val="00B52AAF"/>
    <w:rsid w:val="00B913AD"/>
    <w:rsid w:val="00B95581"/>
    <w:rsid w:val="00BC446E"/>
    <w:rsid w:val="00BD18CC"/>
    <w:rsid w:val="00C001C7"/>
    <w:rsid w:val="00C16AD7"/>
    <w:rsid w:val="00C201F5"/>
    <w:rsid w:val="00C53ED0"/>
    <w:rsid w:val="00C9766F"/>
    <w:rsid w:val="00CC1D12"/>
    <w:rsid w:val="00CC74DD"/>
    <w:rsid w:val="00CE1A1F"/>
    <w:rsid w:val="00CF7936"/>
    <w:rsid w:val="00D74BB0"/>
    <w:rsid w:val="00DD4AF9"/>
    <w:rsid w:val="00DE70E1"/>
    <w:rsid w:val="00E02AF4"/>
    <w:rsid w:val="00E17597"/>
    <w:rsid w:val="00E56F8D"/>
    <w:rsid w:val="00EC2A2A"/>
    <w:rsid w:val="00ED4951"/>
    <w:rsid w:val="00EE1BE5"/>
    <w:rsid w:val="00EE7908"/>
    <w:rsid w:val="00EF3839"/>
    <w:rsid w:val="00F10AF4"/>
    <w:rsid w:val="00F40913"/>
    <w:rsid w:val="00FB0EB0"/>
    <w:rsid w:val="00FC734D"/>
    <w:rsid w:val="00FD0552"/>
    <w:rsid w:val="0B007BD2"/>
    <w:rsid w:val="117D5540"/>
    <w:rsid w:val="14BD0584"/>
    <w:rsid w:val="1A056726"/>
    <w:rsid w:val="1AD867BE"/>
    <w:rsid w:val="2E462779"/>
    <w:rsid w:val="37F95C4C"/>
    <w:rsid w:val="3DDA1B2D"/>
    <w:rsid w:val="3FB174C8"/>
    <w:rsid w:val="4C753AE6"/>
    <w:rsid w:val="4F174970"/>
    <w:rsid w:val="5E631DAD"/>
    <w:rsid w:val="68EE2392"/>
    <w:rsid w:val="72B066BF"/>
    <w:rsid w:val="7AFFFBFC"/>
    <w:rsid w:val="DFF6D99D"/>
    <w:rsid w:val="EF17C4D9"/>
    <w:rsid w:val="FFFF15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9"/>
    <w:qFormat/>
    <w:uiPriority w:val="1"/>
    <w:rPr>
      <w:sz w:val="21"/>
      <w:szCs w:val="21"/>
    </w:rPr>
  </w:style>
  <w:style w:type="paragraph" w:styleId="7">
    <w:name w:val="Balloon Text"/>
    <w:basedOn w:val="1"/>
    <w:link w:val="16"/>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Normal"/>
    <w:unhideWhenUsed/>
    <w:qFormat/>
    <w:uiPriority w:val="2"/>
    <w:tblPr>
      <w:tblCellMar>
        <w:top w:w="0" w:type="dxa"/>
        <w:left w:w="0" w:type="dxa"/>
        <w:bottom w:w="0" w:type="dxa"/>
        <w:right w:w="0" w:type="dxa"/>
      </w:tblCellMar>
    </w:tblPr>
  </w:style>
  <w:style w:type="paragraph" w:customStyle="1" w:styleId="14">
    <w:name w:val="列出段落1"/>
    <w:basedOn w:val="1"/>
    <w:qFormat/>
    <w:uiPriority w:val="1"/>
    <w:pPr>
      <w:ind w:left="227" w:firstLine="420"/>
    </w:pPr>
  </w:style>
  <w:style w:type="paragraph" w:customStyle="1" w:styleId="15">
    <w:name w:val="Table Paragraph"/>
    <w:basedOn w:val="1"/>
    <w:qFormat/>
    <w:uiPriority w:val="1"/>
  </w:style>
  <w:style w:type="character" w:customStyle="1" w:styleId="16">
    <w:name w:val="批注框文本 Char"/>
    <w:basedOn w:val="12"/>
    <w:link w:val="7"/>
    <w:semiHidden/>
    <w:qFormat/>
    <w:uiPriority w:val="99"/>
    <w:rPr>
      <w:rFonts w:ascii="宋体" w:hAnsi="宋体" w:eastAsia="宋体" w:cs="宋体"/>
      <w:sz w:val="18"/>
      <w:szCs w:val="18"/>
      <w:lang w:val="zh-CN" w:eastAsia="zh-CN" w:bidi="zh-CN"/>
    </w:rPr>
  </w:style>
  <w:style w:type="character" w:customStyle="1" w:styleId="17">
    <w:name w:val="页眉 Char"/>
    <w:basedOn w:val="12"/>
    <w:link w:val="9"/>
    <w:qFormat/>
    <w:uiPriority w:val="99"/>
    <w:rPr>
      <w:rFonts w:ascii="宋体" w:hAnsi="宋体" w:eastAsia="宋体" w:cs="宋体"/>
      <w:sz w:val="18"/>
      <w:szCs w:val="18"/>
      <w:lang w:val="zh-CN" w:eastAsia="zh-CN" w:bidi="zh-CN"/>
    </w:rPr>
  </w:style>
  <w:style w:type="character" w:customStyle="1" w:styleId="18">
    <w:name w:val="页脚 Char"/>
    <w:basedOn w:val="12"/>
    <w:link w:val="8"/>
    <w:qFormat/>
    <w:uiPriority w:val="99"/>
    <w:rPr>
      <w:rFonts w:ascii="宋体" w:hAnsi="宋体" w:eastAsia="宋体" w:cs="宋体"/>
      <w:sz w:val="18"/>
      <w:szCs w:val="18"/>
      <w:lang w:val="zh-CN" w:eastAsia="zh-CN" w:bidi="zh-CN"/>
    </w:rPr>
  </w:style>
  <w:style w:type="character" w:customStyle="1" w:styleId="19">
    <w:name w:val="正文文本 Char"/>
    <w:basedOn w:val="12"/>
    <w:link w:val="6"/>
    <w:qFormat/>
    <w:uiPriority w:val="1"/>
    <w:rPr>
      <w:rFonts w:ascii="宋体" w:hAnsi="宋体" w:eastAsia="宋体" w:cs="宋体"/>
      <w:sz w:val="21"/>
      <w:szCs w:val="21"/>
      <w:lang w:val="zh-CN" w:eastAsia="zh-CN" w:bidi="zh-CN"/>
    </w:rPr>
  </w:style>
  <w:style w:type="paragraph" w:customStyle="1" w:styleId="20">
    <w:name w:val="ListBullet2"/>
    <w:basedOn w:val="1"/>
    <w:qFormat/>
    <w:uiPriority w:val="99"/>
    <w:pPr>
      <w:numPr>
        <w:ilvl w:val="0"/>
        <w:numId w:val="1"/>
      </w:numPr>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合肥产品质量监督检验研究院</Company>
  <Pages>3</Pages>
  <Words>1128</Words>
  <Characters>1178</Characters>
  <Lines>9</Lines>
  <Paragraphs>2</Paragraphs>
  <TotalTime>1</TotalTime>
  <ScaleCrop>false</ScaleCrop>
  <LinksUpToDate>false</LinksUpToDate>
  <CharactersWithSpaces>1182</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2024-01-26T16:36:00Z</dcterms:created>
  <dc:creator>合肥质检院，程浩</dc:creator>
  <cp:lastModifiedBy>Abt a song</cp:lastModifiedBy>
  <dcterms:modified xsi:type="dcterms:W3CDTF">2026-03-24T13:45:08Z</dcterms:modified>
  <dc:title>安全帽产品质量监督抽查实施细则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2052-12.1.25205.25205</vt:lpwstr>
  </property>
  <property fmtid="{D5CDD505-2E9C-101B-9397-08002B2CF9AE}" pid="6" name="ICV">
    <vt:lpwstr>D0E084DECC34EF0DE424C26993731190_43</vt:lpwstr>
  </property>
  <property fmtid="{D5CDD505-2E9C-101B-9397-08002B2CF9AE}" pid="7" name="KSOTemplateDocerSaveRecord">
    <vt:lpwstr>eyJoZGlkIjoiZmMzYTNkNTE1OTkwMDcwNDVmNTI4M2ZkY2M1ZTA2MGMiLCJ1c2VySWQiOiI3MTMwODU5MzMifQ==</vt:lpwstr>
  </property>
</Properties>
</file>