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eastAsia" w:ascii="方正小标宋_GBK" w:hAnsi="方正小标宋_GBK" w:eastAsia="方正小标宋_GBK" w:cs="方正小标宋_GBK"/>
          <w:b w:val="0"/>
          <w:bCs w:val="0"/>
          <w:kern w:val="0"/>
          <w:sz w:val="44"/>
          <w:szCs w:val="44"/>
          <w:lang w:eastAsia="zh-CN"/>
        </w:rPr>
      </w:pPr>
      <w:bookmarkStart w:id="0" w:name="_GoBack"/>
      <w:bookmarkEnd w:id="0"/>
      <w:r>
        <w:rPr>
          <w:rFonts w:hint="eastAsia" w:ascii="方正小标宋_GBK" w:hAnsi="方正小标宋_GBK" w:eastAsia="方正小标宋_GBK" w:cs="方正小标宋_GBK"/>
          <w:b w:val="0"/>
          <w:bCs w:val="0"/>
          <w:kern w:val="0"/>
          <w:sz w:val="44"/>
          <w:szCs w:val="44"/>
          <w:lang w:val="en-US" w:eastAsia="zh-CN"/>
        </w:rPr>
        <w:t>南通市贵金属、珠宝饰品</w:t>
      </w:r>
      <w:r>
        <w:rPr>
          <w:rFonts w:hint="eastAsia" w:ascii="方正小标宋_GBK" w:hAnsi="方正小标宋_GBK" w:eastAsia="方正小标宋_GBK" w:cs="方正小标宋_GBK"/>
          <w:b w:val="0"/>
          <w:bCs w:val="0"/>
          <w:kern w:val="0"/>
          <w:sz w:val="44"/>
          <w:szCs w:val="44"/>
        </w:rPr>
        <w:t>产品质量监督抽查检验实施细则</w:t>
      </w:r>
      <w:r>
        <w:rPr>
          <w:rFonts w:hint="eastAsia" w:ascii="方正小标宋_GBK" w:hAnsi="方正小标宋_GBK" w:eastAsia="方正小标宋_GBK" w:cs="方正小标宋_GBK"/>
          <w:b w:val="0"/>
          <w:bCs w:val="0"/>
          <w:kern w:val="0"/>
          <w:sz w:val="44"/>
          <w:szCs w:val="44"/>
          <w:lang w:eastAsia="zh-CN"/>
        </w:rPr>
        <w:t>（</w:t>
      </w:r>
      <w:r>
        <w:rPr>
          <w:rFonts w:hint="eastAsia" w:ascii="方正小标宋_GBK" w:hAnsi="方正小标宋_GBK" w:eastAsia="方正小标宋_GBK" w:cs="方正小标宋_GBK"/>
          <w:b w:val="0"/>
          <w:bCs w:val="0"/>
          <w:kern w:val="0"/>
          <w:sz w:val="44"/>
          <w:szCs w:val="44"/>
          <w:lang w:val="en-US" w:eastAsia="zh-CN"/>
        </w:rPr>
        <w:t>2026年</w:t>
      </w:r>
      <w:r>
        <w:rPr>
          <w:rFonts w:hint="eastAsia" w:ascii="方正小标宋_GBK" w:hAnsi="方正小标宋_GBK" w:eastAsia="方正小标宋_GBK" w:cs="方正小标宋_GBK"/>
          <w:b w:val="0"/>
          <w:bCs w:val="0"/>
          <w:kern w:val="0"/>
          <w:sz w:val="44"/>
          <w:szCs w:val="44"/>
          <w:lang w:eastAsia="zh-CN"/>
        </w:rPr>
        <w:t>）</w:t>
      </w:r>
    </w:p>
    <w:p>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hint="eastAsia" w:ascii="方正黑体_GBK" w:hAnsi="方正黑体_GBK" w:eastAsia="方正黑体_GBK" w:cs="方正黑体_GBK"/>
          <w:color w:val="auto"/>
          <w:kern w:val="0"/>
          <w:sz w:val="32"/>
          <w:szCs w:val="32"/>
        </w:rPr>
      </w:pPr>
      <w:r>
        <w:rPr>
          <w:rFonts w:hint="eastAsia" w:ascii="方正黑体_GBK" w:hAnsi="方正黑体_GBK" w:eastAsia="方正黑体_GBK" w:cs="方正黑体_GBK"/>
          <w:color w:val="auto"/>
          <w:kern w:val="0"/>
          <w:sz w:val="32"/>
          <w:szCs w:val="32"/>
        </w:rPr>
        <w:t>一、范围</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color w:val="auto"/>
          <w:kern w:val="0"/>
          <w:sz w:val="32"/>
          <w:szCs w:val="32"/>
          <w:lang w:eastAsia="zh-CN"/>
        </w:rPr>
      </w:pPr>
      <w:r>
        <w:rPr>
          <w:rFonts w:hint="eastAsia" w:ascii="方正仿宋_GBK" w:hAnsi="方正仿宋_GBK" w:eastAsia="方正仿宋_GBK" w:cs="方正仿宋_GBK"/>
          <w:bCs/>
          <w:sz w:val="32"/>
          <w:szCs w:val="32"/>
        </w:rPr>
        <w:t>本细则适用于南通市市场监督管理局组织</w:t>
      </w:r>
      <w:r>
        <w:rPr>
          <w:rFonts w:hint="eastAsia" w:ascii="方正仿宋_GBK" w:hAnsi="方正仿宋_GBK" w:eastAsia="方正仿宋_GBK" w:cs="方正仿宋_GBK"/>
          <w:bCs/>
          <w:sz w:val="32"/>
          <w:szCs w:val="32"/>
          <w:lang w:val="en-US" w:eastAsia="zh-CN"/>
        </w:rPr>
        <w:t>贵金属、珠宝饰品</w:t>
      </w:r>
      <w:r>
        <w:rPr>
          <w:rFonts w:hint="eastAsia" w:ascii="方正仿宋_GBK" w:hAnsi="方正仿宋_GBK" w:eastAsia="方正仿宋_GBK" w:cs="方正仿宋_GBK"/>
          <w:bCs/>
          <w:sz w:val="32"/>
          <w:szCs w:val="32"/>
        </w:rPr>
        <w:t>产品质量监督抽查检验</w:t>
      </w:r>
      <w:r>
        <w:rPr>
          <w:rFonts w:hint="eastAsia" w:ascii="方正仿宋_GBK" w:hAnsi="方正仿宋_GBK" w:eastAsia="方正仿宋_GBK" w:cs="方正仿宋_GBK"/>
          <w:color w:val="auto"/>
          <w:kern w:val="0"/>
          <w:sz w:val="32"/>
          <w:szCs w:val="32"/>
        </w:rPr>
        <w:t>。</w:t>
      </w:r>
      <w:r>
        <w:rPr>
          <w:rFonts w:hint="eastAsia" w:ascii="方正仿宋_GBK" w:hAnsi="方正仿宋_GBK" w:eastAsia="方正仿宋_GBK" w:cs="方正仿宋_GBK"/>
          <w:color w:val="auto"/>
          <w:kern w:val="0"/>
          <w:sz w:val="32"/>
          <w:szCs w:val="32"/>
          <w:lang w:eastAsia="zh-CN"/>
        </w:rPr>
        <w:t>本细则规定了此产品的抽样方法、检验依据、检验项目、检验方法、判定原则、异议处理及复检。</w:t>
      </w:r>
    </w:p>
    <w:p>
      <w:pPr>
        <w:keepNext w:val="0"/>
        <w:keepLines w:val="0"/>
        <w:pageBreakBefore w:val="0"/>
        <w:numPr>
          <w:ilvl w:val="0"/>
          <w:numId w:val="0"/>
        </w:numPr>
        <w:kinsoku/>
        <w:wordWrap/>
        <w:overflowPunct/>
        <w:topLinePunct w:val="0"/>
        <w:autoSpaceDE w:val="0"/>
        <w:autoSpaceDN w:val="0"/>
        <w:bidi w:val="0"/>
        <w:adjustRightInd w:val="0"/>
        <w:snapToGrid/>
        <w:spacing w:line="600" w:lineRule="exact"/>
        <w:jc w:val="left"/>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lang w:eastAsia="zh-CN"/>
        </w:rPr>
        <w:t>二、</w:t>
      </w:r>
      <w:r>
        <w:rPr>
          <w:rFonts w:hint="eastAsia" w:ascii="方正黑体_GBK" w:hAnsi="方正黑体_GBK" w:eastAsia="方正黑体_GBK" w:cs="方正黑体_GBK"/>
          <w:bCs/>
          <w:sz w:val="32"/>
          <w:szCs w:val="32"/>
        </w:rPr>
        <w:t>抽</w:t>
      </w:r>
      <w:r>
        <w:rPr>
          <w:rFonts w:hint="eastAsia" w:ascii="方正黑体_GBK" w:hAnsi="方正黑体_GBK" w:eastAsia="方正黑体_GBK" w:cs="方正黑体_GBK"/>
          <w:bCs/>
          <w:sz w:val="32"/>
          <w:szCs w:val="32"/>
          <w:lang w:val="en-US" w:eastAsia="zh-CN"/>
        </w:rPr>
        <w:t>样</w:t>
      </w:r>
      <w:r>
        <w:rPr>
          <w:rFonts w:hint="eastAsia" w:ascii="方正黑体_GBK" w:hAnsi="方正黑体_GBK" w:eastAsia="方正黑体_GBK" w:cs="方正黑体_GBK"/>
          <w:bCs/>
          <w:sz w:val="32"/>
          <w:szCs w:val="32"/>
        </w:rPr>
        <w:t>方法</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本次监督抽查仅从市场实体店取样，以发现问题为导向，重点对2025年度抽查不合单的单位，以及消费者反映的热点产品进行监督抽查。</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 xml:space="preserve">以发现问题为导向，尽量抽查消费者反应问题多、价格显著偏移的产品；同一生产企业按照同一标准生产的同一商标、同一规格型号产品在同一抽样领域不得重复抽样。 </w:t>
      </w:r>
    </w:p>
    <w:p>
      <w:pPr>
        <w:keepNext w:val="0"/>
        <w:keepLines w:val="0"/>
        <w:pageBreakBefore w:val="0"/>
        <w:numPr>
          <w:ilvl w:val="0"/>
          <w:numId w:val="0"/>
        </w:numPr>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实体店抽样，所抽查贵金属、珠宝饰品的产品名称应当反映产品的真实属性，当其标识名称不明确时，应当以适当方式询问产品的具体名称。每个地区原则上应当尽量覆盖商场、超市、专卖店3类实体店，若地区实体店不能完全覆盖3类实体店的，根据区域实际分布情况进行调整，尽量保证该地区总抽样数不变。</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eastAsia="zh-CN"/>
        </w:rPr>
      </w:pPr>
      <w:r>
        <w:rPr>
          <w:rFonts w:hint="eastAsia" w:ascii="方正仿宋_GBK" w:hAnsi="方正仿宋_GBK" w:eastAsia="方正仿宋_GBK" w:cs="方正仿宋_GBK"/>
          <w:bCs/>
          <w:sz w:val="32"/>
          <w:szCs w:val="32"/>
          <w:lang w:val="en-US" w:eastAsia="zh-CN"/>
        </w:rPr>
        <w:t>抽样单上应注明：（1）</w:t>
      </w:r>
      <w:r>
        <w:rPr>
          <w:rFonts w:hint="eastAsia" w:ascii="方正仿宋_GBK" w:hAnsi="方正仿宋_GBK" w:eastAsia="方正仿宋_GBK" w:cs="方正仿宋_GBK"/>
          <w:bCs/>
          <w:sz w:val="32"/>
          <w:szCs w:val="32"/>
        </w:rPr>
        <w:t>取样企业名称</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rPr>
        <w:t>实体店受检企业名称表述需与受检企业营业执照一致</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lang w:val="en-US" w:eastAsia="zh-CN"/>
        </w:rPr>
        <w:t>2</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rPr>
        <w:t>生产企业名称</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lang w:val="en-US" w:eastAsia="zh-CN"/>
        </w:rPr>
        <w:t>如有</w:t>
      </w:r>
      <w:r>
        <w:rPr>
          <w:rFonts w:hint="eastAsia" w:ascii="方正仿宋_GBK" w:hAnsi="方正仿宋_GBK" w:eastAsia="方正仿宋_GBK" w:cs="方正仿宋_GBK"/>
          <w:bCs/>
          <w:sz w:val="32"/>
          <w:szCs w:val="32"/>
          <w:lang w:eastAsia="zh-CN"/>
        </w:rPr>
        <w:t>）；（</w:t>
      </w:r>
      <w:r>
        <w:rPr>
          <w:rFonts w:hint="eastAsia" w:ascii="方正仿宋_GBK" w:hAnsi="方正仿宋_GBK" w:eastAsia="方正仿宋_GBK" w:cs="方正仿宋_GBK"/>
          <w:bCs/>
          <w:sz w:val="32"/>
          <w:szCs w:val="32"/>
          <w:lang w:val="en-US" w:eastAsia="zh-CN"/>
        </w:rPr>
        <w:t>3</w:t>
      </w:r>
      <w:r>
        <w:rPr>
          <w:rFonts w:hint="eastAsia" w:ascii="方正仿宋_GBK" w:hAnsi="方正仿宋_GBK" w:eastAsia="方正仿宋_GBK" w:cs="方正仿宋_GBK"/>
          <w:bCs/>
          <w:sz w:val="32"/>
          <w:szCs w:val="32"/>
          <w:lang w:eastAsia="zh-CN"/>
        </w:rPr>
        <w:t>）抽检产品名称，</w:t>
      </w:r>
      <w:r>
        <w:rPr>
          <w:rFonts w:hint="eastAsia" w:ascii="方正仿宋_GBK" w:hAnsi="方正仿宋_GBK" w:eastAsia="方正仿宋_GBK" w:cs="方正仿宋_GBK"/>
          <w:bCs/>
          <w:sz w:val="32"/>
          <w:szCs w:val="32"/>
        </w:rPr>
        <w:t>产品标签、产品包装、产品说明书等明确标出的</w:t>
      </w:r>
      <w:r>
        <w:rPr>
          <w:rFonts w:hint="eastAsia" w:ascii="方正仿宋_GBK" w:hAnsi="方正仿宋_GBK" w:eastAsia="方正仿宋_GBK" w:cs="方正仿宋_GBK"/>
          <w:bCs/>
          <w:sz w:val="32"/>
          <w:szCs w:val="32"/>
          <w:lang w:eastAsia="zh-CN"/>
        </w:rPr>
        <w:t>。</w:t>
      </w:r>
    </w:p>
    <w:p>
      <w:pPr>
        <w:keepNext w:val="0"/>
        <w:keepLines w:val="0"/>
        <w:pageBreakBefore w:val="0"/>
        <w:numPr>
          <w:ilvl w:val="0"/>
          <w:numId w:val="0"/>
        </w:numPr>
        <w:kinsoku/>
        <w:wordWrap/>
        <w:overflowPunct/>
        <w:topLinePunct w:val="0"/>
        <w:autoSpaceDE w:val="0"/>
        <w:autoSpaceDN w:val="0"/>
        <w:bidi w:val="0"/>
        <w:adjustRightInd w:val="0"/>
        <w:snapToGrid/>
        <w:spacing w:line="600" w:lineRule="exact"/>
        <w:ind w:leftChars="0"/>
        <w:jc w:val="left"/>
        <w:textAlignment w:val="auto"/>
        <w:rPr>
          <w:rFonts w:hint="eastAsia" w:ascii="方正黑体_GBK" w:hAnsi="方正黑体_GBK" w:eastAsia="方正黑体_GBK" w:cs="方正黑体_GBK"/>
          <w:bCs/>
          <w:sz w:val="32"/>
          <w:szCs w:val="32"/>
          <w:lang w:eastAsia="zh-CN"/>
        </w:rPr>
      </w:pPr>
      <w:r>
        <w:rPr>
          <w:rFonts w:hint="eastAsia" w:ascii="方正黑体_GBK" w:hAnsi="方正黑体_GBK" w:eastAsia="方正黑体_GBK" w:cs="方正黑体_GBK"/>
          <w:bCs/>
          <w:sz w:val="32"/>
          <w:szCs w:val="32"/>
          <w:lang w:eastAsia="zh-CN"/>
        </w:rPr>
        <w:t>三、检验依据</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 xml:space="preserve">凡是注明日期的文件，其随后所有的修改单或修订版不适用于本方案。凡是不注日期的文件，其最新版本适用于本方案。 </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GB 11887-2012《首饰贵金属首饰纯度的规定及命名方法》及2015年第1号修改单</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GB/T 18043-2013《首饰 贵金属含量的测定 X射线荧光光谱法》</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 xml:space="preserve">GB/T 8170-2008《数值修约规则与极限数值的标识和判定》         </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QB/T 1690-2021《贵金属饰品质量测量允差的规定》</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GB/T 16552-2017《珠宝玉石  名称》</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GB/T 16553-2017《珠宝玉石  鉴定》</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GB/T 16554-2017《钻石分级》</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GB/T 31912-2015 《饰品 标识》</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val="en-US" w:eastAsia="zh-CN"/>
        </w:rPr>
      </w:pPr>
      <w:r>
        <w:rPr>
          <w:rFonts w:hint="eastAsia" w:ascii="方正仿宋_GBK" w:hAnsi="方正仿宋_GBK" w:eastAsia="方正仿宋_GBK" w:cs="方正仿宋_GBK"/>
          <w:bCs/>
          <w:sz w:val="32"/>
          <w:szCs w:val="32"/>
          <w:lang w:val="en-US" w:eastAsia="zh-CN"/>
        </w:rPr>
        <w:t xml:space="preserve">相关的法律法规、部门规章和规范 </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eastAsia="zh-CN"/>
        </w:rPr>
      </w:pPr>
      <w:r>
        <w:rPr>
          <w:rFonts w:hint="eastAsia" w:ascii="方正仿宋_GBK" w:hAnsi="方正仿宋_GBK" w:eastAsia="方正仿宋_GBK" w:cs="方正仿宋_GBK"/>
          <w:bCs/>
          <w:sz w:val="32"/>
          <w:szCs w:val="32"/>
          <w:lang w:val="en-US" w:eastAsia="zh-CN"/>
        </w:rPr>
        <w:t xml:space="preserve">经备案现行有效的企业标准及明示质量承诺 </w:t>
      </w:r>
    </w:p>
    <w:p>
      <w:pPr>
        <w:keepNext w:val="0"/>
        <w:keepLines w:val="0"/>
        <w:pageBreakBefore w:val="0"/>
        <w:numPr>
          <w:ilvl w:val="0"/>
          <w:numId w:val="0"/>
        </w:numPr>
        <w:kinsoku/>
        <w:wordWrap/>
        <w:overflowPunct/>
        <w:topLinePunct w:val="0"/>
        <w:autoSpaceDE w:val="0"/>
        <w:autoSpaceDN w:val="0"/>
        <w:bidi w:val="0"/>
        <w:adjustRightInd w:val="0"/>
        <w:snapToGrid/>
        <w:spacing w:line="600" w:lineRule="exact"/>
        <w:ind w:leftChars="0"/>
        <w:jc w:val="left"/>
        <w:textAlignment w:val="auto"/>
        <w:rPr>
          <w:rFonts w:hint="eastAsia" w:ascii="方正黑体_GBK" w:hAnsi="方正黑体_GBK" w:eastAsia="方正黑体_GBK" w:cs="方正黑体_GBK"/>
          <w:bCs/>
          <w:sz w:val="32"/>
          <w:szCs w:val="32"/>
          <w:lang w:eastAsia="zh-CN"/>
        </w:rPr>
      </w:pPr>
      <w:r>
        <w:rPr>
          <w:rFonts w:hint="eastAsia" w:ascii="方正黑体_GBK" w:hAnsi="方正黑体_GBK" w:eastAsia="方正黑体_GBK" w:cs="方正黑体_GBK"/>
          <w:bCs/>
          <w:sz w:val="32"/>
          <w:szCs w:val="32"/>
          <w:lang w:val="en-US" w:eastAsia="zh-CN"/>
        </w:rPr>
        <w:t>四、检验项目、方法</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kern w:val="2"/>
          <w:sz w:val="32"/>
          <w:szCs w:val="32"/>
          <w:lang w:val="en-US" w:eastAsia="zh-CN" w:bidi="ar-SA"/>
        </w:rPr>
      </w:pPr>
      <w:r>
        <w:rPr>
          <w:rFonts w:hint="eastAsia" w:ascii="方正仿宋_GBK" w:hAnsi="方正仿宋_GBK" w:eastAsia="方正仿宋_GBK" w:cs="方正仿宋_GBK"/>
          <w:bCs/>
          <w:kern w:val="2"/>
          <w:sz w:val="32"/>
          <w:szCs w:val="32"/>
          <w:lang w:val="en-US" w:eastAsia="zh-CN" w:bidi="ar-SA"/>
        </w:rPr>
        <w:t>检验项目为产品实物质量检查和产品标签检查。</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kern w:val="2"/>
          <w:sz w:val="32"/>
          <w:szCs w:val="32"/>
          <w:lang w:val="en-US" w:eastAsia="zh-CN" w:bidi="ar-SA"/>
        </w:rPr>
      </w:pPr>
      <w:r>
        <w:rPr>
          <w:rFonts w:hint="eastAsia" w:ascii="方正仿宋_GBK" w:hAnsi="方正仿宋_GBK" w:eastAsia="方正仿宋_GBK" w:cs="方正仿宋_GBK"/>
          <w:bCs/>
          <w:kern w:val="2"/>
          <w:sz w:val="32"/>
          <w:szCs w:val="32"/>
          <w:lang w:val="en-US" w:eastAsia="zh-CN" w:bidi="ar-SA"/>
        </w:rPr>
        <w:t>4.1实物质量检验项目表</w:t>
      </w:r>
    </w:p>
    <w:tbl>
      <w:tblPr>
        <w:tblStyle w:val="5"/>
        <w:tblpPr w:leftFromText="180" w:rightFromText="180" w:vertAnchor="text" w:horzAnchor="page" w:tblpXSpec="center" w:tblpY="659"/>
        <w:tblOverlap w:val="never"/>
        <w:tblW w:w="77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595"/>
        <w:gridCol w:w="1903"/>
        <w:gridCol w:w="1653"/>
        <w:gridCol w:w="1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5" w:hRule="atLeast"/>
          <w:jc w:val="center"/>
        </w:trPr>
        <w:tc>
          <w:tcPr>
            <w:tcW w:w="810" w:type="dxa"/>
            <w:shd w:val="clear" w:color="auto" w:fill="auto"/>
            <w:noWrap w:val="0"/>
            <w:vAlign w:val="center"/>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0"/>
                <w:sz w:val="32"/>
                <w:szCs w:val="32"/>
                <w:shd w:val="clear" w:color="auto" w:fill="auto"/>
              </w:rPr>
            </w:pPr>
            <w:r>
              <w:rPr>
                <w:rFonts w:hint="eastAsia" w:ascii="方正仿宋_GBK" w:hAnsi="方正仿宋_GBK" w:eastAsia="方正仿宋_GBK" w:cs="方正仿宋_GBK"/>
                <w:kern w:val="0"/>
                <w:sz w:val="32"/>
                <w:szCs w:val="32"/>
                <w:shd w:val="clear" w:color="auto" w:fill="auto"/>
              </w:rPr>
              <w:t>序号</w:t>
            </w:r>
          </w:p>
        </w:tc>
        <w:tc>
          <w:tcPr>
            <w:tcW w:w="1595" w:type="dxa"/>
            <w:shd w:val="clear" w:color="auto" w:fill="auto"/>
            <w:noWrap w:val="0"/>
            <w:vAlign w:val="center"/>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0"/>
                <w:sz w:val="32"/>
                <w:szCs w:val="32"/>
                <w:shd w:val="clear" w:color="auto" w:fill="auto"/>
              </w:rPr>
            </w:pPr>
            <w:r>
              <w:rPr>
                <w:rFonts w:hint="eastAsia" w:ascii="方正仿宋_GBK" w:hAnsi="方正仿宋_GBK" w:eastAsia="方正仿宋_GBK" w:cs="方正仿宋_GBK"/>
                <w:kern w:val="0"/>
                <w:sz w:val="32"/>
                <w:szCs w:val="32"/>
                <w:shd w:val="clear" w:color="auto" w:fill="auto"/>
                <w:lang w:val="en-US" w:eastAsia="zh-CN"/>
              </w:rPr>
              <w:t>检验</w:t>
            </w: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0"/>
                <w:sz w:val="32"/>
                <w:szCs w:val="32"/>
                <w:shd w:val="clear" w:color="auto" w:fill="auto"/>
              </w:rPr>
            </w:pPr>
            <w:r>
              <w:rPr>
                <w:rFonts w:hint="eastAsia" w:ascii="方正仿宋_GBK" w:hAnsi="方正仿宋_GBK" w:eastAsia="方正仿宋_GBK" w:cs="方正仿宋_GBK"/>
                <w:kern w:val="0"/>
                <w:sz w:val="32"/>
                <w:szCs w:val="32"/>
                <w:shd w:val="clear" w:color="auto" w:fill="auto"/>
                <w:lang w:val="en-US" w:eastAsia="zh-CN"/>
              </w:rPr>
              <w:t>项目</w:t>
            </w:r>
          </w:p>
        </w:tc>
        <w:tc>
          <w:tcPr>
            <w:tcW w:w="1903" w:type="dxa"/>
            <w:shd w:val="clear" w:color="auto" w:fill="auto"/>
            <w:noWrap w:val="0"/>
            <w:vAlign w:val="center"/>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0"/>
                <w:sz w:val="32"/>
                <w:szCs w:val="32"/>
                <w:shd w:val="clear" w:color="auto" w:fill="auto"/>
                <w:lang w:eastAsia="zh-CN"/>
              </w:rPr>
            </w:pPr>
            <w:r>
              <w:rPr>
                <w:rFonts w:hint="eastAsia" w:ascii="方正仿宋_GBK" w:hAnsi="方正仿宋_GBK" w:eastAsia="方正仿宋_GBK" w:cs="方正仿宋_GBK"/>
                <w:kern w:val="0"/>
                <w:sz w:val="32"/>
                <w:szCs w:val="32"/>
                <w:shd w:val="clear" w:color="auto" w:fill="auto"/>
                <w:lang w:eastAsia="zh-CN"/>
              </w:rPr>
              <w:t>检验依据</w:t>
            </w:r>
          </w:p>
        </w:tc>
        <w:tc>
          <w:tcPr>
            <w:tcW w:w="3488" w:type="dxa"/>
            <w:gridSpan w:val="2"/>
            <w:shd w:val="clear" w:color="auto" w:fill="auto"/>
            <w:noWrap w:val="0"/>
            <w:vAlign w:val="center"/>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0"/>
                <w:sz w:val="32"/>
                <w:szCs w:val="32"/>
                <w:shd w:val="clear" w:color="auto" w:fill="auto"/>
              </w:rPr>
            </w:pPr>
            <w:r>
              <w:rPr>
                <w:rFonts w:hint="eastAsia" w:ascii="方正仿宋_GBK" w:hAnsi="方正仿宋_GBK" w:eastAsia="方正仿宋_GBK" w:cs="方正仿宋_GBK"/>
                <w:kern w:val="0"/>
                <w:sz w:val="32"/>
                <w:szCs w:val="32"/>
                <w:shd w:val="clear" w:color="auto" w:fill="auto"/>
                <w:lang w:eastAsia="zh-CN"/>
              </w:rPr>
              <w:t>检验</w:t>
            </w:r>
            <w:r>
              <w:rPr>
                <w:rFonts w:hint="eastAsia" w:ascii="方正仿宋_GBK" w:hAnsi="方正仿宋_GBK" w:eastAsia="方正仿宋_GBK" w:cs="方正仿宋_GBK"/>
                <w:kern w:val="0"/>
                <w:sz w:val="32"/>
                <w:szCs w:val="32"/>
                <w:shd w:val="clear" w:color="auto" w:fill="auto"/>
                <w:lang w:val="en-US" w:eastAsia="zh-CN"/>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jc w:val="center"/>
        </w:trPr>
        <w:tc>
          <w:tcPr>
            <w:tcW w:w="810" w:type="dxa"/>
            <w:vMerge w:val="restart"/>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w:t>
            </w:r>
          </w:p>
        </w:tc>
        <w:tc>
          <w:tcPr>
            <w:tcW w:w="1595" w:type="dxa"/>
            <w:vMerge w:val="restart"/>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贵金属</w:t>
            </w:r>
          </w:p>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饰品</w:t>
            </w:r>
          </w:p>
        </w:tc>
        <w:tc>
          <w:tcPr>
            <w:tcW w:w="190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QB/T1690</w:t>
            </w:r>
          </w:p>
        </w:tc>
        <w:tc>
          <w:tcPr>
            <w:tcW w:w="165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kern w:val="0"/>
                <w:sz w:val="32"/>
                <w:szCs w:val="32"/>
              </w:rPr>
              <w:t>质量</w:t>
            </w:r>
          </w:p>
        </w:tc>
        <w:tc>
          <w:tcPr>
            <w:tcW w:w="1835"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QB/T1690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6" w:hRule="atLeast"/>
          <w:jc w:val="center"/>
        </w:trPr>
        <w:tc>
          <w:tcPr>
            <w:tcW w:w="810"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GB／T18043</w:t>
            </w:r>
          </w:p>
          <w:p>
            <w:pPr>
              <w:keepNext w:val="0"/>
              <w:keepLines w:val="0"/>
              <w:pageBreakBefore w:val="0"/>
              <w:kinsoku/>
              <w:wordWrap/>
              <w:overflowPunct/>
              <w:topLinePunct w:val="0"/>
              <w:bidi w:val="0"/>
              <w:snapToGrid/>
              <w:spacing w:line="600" w:lineRule="exact"/>
              <w:jc w:val="center"/>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GB11887</w:t>
            </w:r>
          </w:p>
        </w:tc>
        <w:tc>
          <w:tcPr>
            <w:tcW w:w="165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color w:val="000000"/>
                <w:kern w:val="0"/>
                <w:sz w:val="32"/>
                <w:szCs w:val="32"/>
                <w:lang w:eastAsia="zh-CN"/>
              </w:rPr>
            </w:pPr>
            <w:r>
              <w:rPr>
                <w:rFonts w:hint="eastAsia" w:ascii="方正仿宋_GBK" w:hAnsi="方正仿宋_GBK" w:eastAsia="方正仿宋_GBK" w:cs="方正仿宋_GBK"/>
                <w:kern w:val="0"/>
                <w:sz w:val="32"/>
                <w:szCs w:val="32"/>
                <w:lang w:eastAsia="zh-CN"/>
              </w:rPr>
              <w:t>纯度</w:t>
            </w:r>
          </w:p>
        </w:tc>
        <w:tc>
          <w:tcPr>
            <w:tcW w:w="1835"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rPr>
              <w:t>T18043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810" w:type="dxa"/>
            <w:vMerge w:val="restart"/>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w:t>
            </w:r>
          </w:p>
        </w:tc>
        <w:tc>
          <w:tcPr>
            <w:tcW w:w="1595" w:type="dxa"/>
            <w:vMerge w:val="restart"/>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珠宝玉石</w:t>
            </w:r>
          </w:p>
        </w:tc>
        <w:tc>
          <w:tcPr>
            <w:tcW w:w="1903" w:type="dxa"/>
            <w:noWrap w:val="0"/>
            <w:vAlign w:val="center"/>
          </w:tcPr>
          <w:p>
            <w:pPr>
              <w:keepNext w:val="0"/>
              <w:keepLines w:val="0"/>
              <w:pageBreakBefore w:val="0"/>
              <w:widowControl/>
              <w:suppressLineNumbers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肉眼观察</w:t>
            </w:r>
          </w:p>
        </w:tc>
        <w:tc>
          <w:tcPr>
            <w:tcW w:w="1835"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GB/T16553</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 xml:space="preserve"> 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810"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放大检查</w:t>
            </w:r>
          </w:p>
        </w:tc>
        <w:tc>
          <w:tcPr>
            <w:tcW w:w="1835"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GB/T16553</w:t>
            </w:r>
          </w:p>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810"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折射率、双折射率</w:t>
            </w:r>
          </w:p>
        </w:tc>
        <w:tc>
          <w:tcPr>
            <w:tcW w:w="1835"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GB/T16553</w:t>
            </w:r>
          </w:p>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 w:hRule="atLeast"/>
          <w:jc w:val="center"/>
        </w:trPr>
        <w:tc>
          <w:tcPr>
            <w:tcW w:w="810"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光性特性</w:t>
            </w:r>
          </w:p>
        </w:tc>
        <w:tc>
          <w:tcPr>
            <w:tcW w:w="1835"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GB/T16553</w:t>
            </w:r>
          </w:p>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 w:hRule="atLeast"/>
          <w:jc w:val="center"/>
        </w:trPr>
        <w:tc>
          <w:tcPr>
            <w:tcW w:w="810"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二色性</w:t>
            </w:r>
          </w:p>
        </w:tc>
        <w:tc>
          <w:tcPr>
            <w:tcW w:w="1835"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GB/T16553</w:t>
            </w:r>
          </w:p>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4.1.</w:t>
            </w:r>
            <w:r>
              <w:rPr>
                <w:rFonts w:hint="eastAsia" w:ascii="方正仿宋_GBK" w:hAnsi="方正仿宋_GBK" w:eastAsia="方正仿宋_GBK" w:cs="方正仿宋_GBK"/>
                <w:sz w:val="32"/>
                <w:szCs w:val="3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810"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荧光观察</w:t>
            </w:r>
          </w:p>
        </w:tc>
        <w:tc>
          <w:tcPr>
            <w:tcW w:w="1835"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GB/T16553</w:t>
            </w:r>
          </w:p>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810"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质量</w:t>
            </w:r>
          </w:p>
        </w:tc>
        <w:tc>
          <w:tcPr>
            <w:tcW w:w="1835"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GB/T16553</w:t>
            </w:r>
          </w:p>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810"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密度</w:t>
            </w:r>
          </w:p>
        </w:tc>
        <w:tc>
          <w:tcPr>
            <w:tcW w:w="1835"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GB/T16553</w:t>
            </w:r>
          </w:p>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jc w:val="center"/>
        </w:trPr>
        <w:tc>
          <w:tcPr>
            <w:tcW w:w="810"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pPr>
              <w:keepNext w:val="0"/>
              <w:keepLines w:val="0"/>
              <w:pageBreakBefore w:val="0"/>
              <w:widowControl/>
              <w:suppressLineNumbers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color w:val="000000"/>
                <w:kern w:val="0"/>
                <w:sz w:val="32"/>
                <w:szCs w:val="32"/>
                <w:lang w:val="en-US" w:eastAsia="zh-CN" w:bidi="ar"/>
              </w:rPr>
              <w:t>红外光谱分析</w:t>
            </w:r>
          </w:p>
        </w:tc>
        <w:tc>
          <w:tcPr>
            <w:tcW w:w="1835"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GB/T16553</w:t>
            </w:r>
          </w:p>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 w:hRule="atLeast"/>
          <w:jc w:val="center"/>
        </w:trPr>
        <w:tc>
          <w:tcPr>
            <w:tcW w:w="810"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lang w:val="en-US" w:eastAsia="zh-CN" w:bidi="ar-SA"/>
              </w:rPr>
            </w:pPr>
            <w:r>
              <w:rPr>
                <w:rFonts w:hint="eastAsia" w:ascii="方正仿宋_GBK" w:hAnsi="方正仿宋_GBK" w:eastAsia="方正仿宋_GBK" w:cs="方正仿宋_GBK"/>
                <w:kern w:val="0"/>
                <w:sz w:val="32"/>
                <w:szCs w:val="32"/>
              </w:rPr>
              <w:t>紫外可见光谱分析</w:t>
            </w:r>
          </w:p>
        </w:tc>
        <w:tc>
          <w:tcPr>
            <w:tcW w:w="1835"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GB/T16553</w:t>
            </w:r>
          </w:p>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sz w:val="32"/>
                <w:szCs w:val="32"/>
              </w:rPr>
              <w:t>4.1.10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jc w:val="center"/>
        </w:trPr>
        <w:tc>
          <w:tcPr>
            <w:tcW w:w="810"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GB/T16553</w:t>
            </w:r>
          </w:p>
        </w:tc>
        <w:tc>
          <w:tcPr>
            <w:tcW w:w="165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热导性</w:t>
            </w:r>
          </w:p>
        </w:tc>
        <w:tc>
          <w:tcPr>
            <w:tcW w:w="1835"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GB/T16553</w:t>
            </w:r>
          </w:p>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810"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lang w:val="en-US" w:eastAsia="zh-CN"/>
              </w:rPr>
              <w:t>GB/T 16553</w:t>
            </w:r>
          </w:p>
        </w:tc>
        <w:tc>
          <w:tcPr>
            <w:tcW w:w="165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lang w:val="en-US" w:eastAsia="zh-CN"/>
              </w:rPr>
              <w:t>发光图像分析</w:t>
            </w:r>
          </w:p>
        </w:tc>
        <w:tc>
          <w:tcPr>
            <w:tcW w:w="1835"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GB/T16553</w:t>
            </w:r>
          </w:p>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rPr>
              <w:t>4.1.1</w:t>
            </w:r>
            <w:r>
              <w:rPr>
                <w:rFonts w:hint="eastAsia" w:ascii="方正仿宋_GBK" w:hAnsi="方正仿宋_GBK" w:eastAsia="方正仿宋_GBK" w:cs="方正仿宋_GBK"/>
                <w:kern w:val="0"/>
                <w:sz w:val="32"/>
                <w:szCs w:val="32"/>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810" w:type="dxa"/>
            <w:vMerge w:val="restart"/>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w:t>
            </w:r>
          </w:p>
        </w:tc>
        <w:tc>
          <w:tcPr>
            <w:tcW w:w="1595" w:type="dxa"/>
            <w:vMerge w:val="restart"/>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钻石</w:t>
            </w:r>
          </w:p>
        </w:tc>
        <w:tc>
          <w:tcPr>
            <w:tcW w:w="190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GB/T16554</w:t>
            </w:r>
          </w:p>
        </w:tc>
        <w:tc>
          <w:tcPr>
            <w:tcW w:w="165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颜色分级</w:t>
            </w:r>
          </w:p>
        </w:tc>
        <w:tc>
          <w:tcPr>
            <w:tcW w:w="1835"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GB/T16554</w:t>
            </w:r>
          </w:p>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810"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GB/T16554</w:t>
            </w:r>
          </w:p>
        </w:tc>
        <w:tc>
          <w:tcPr>
            <w:tcW w:w="165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净度分级</w:t>
            </w:r>
          </w:p>
        </w:tc>
        <w:tc>
          <w:tcPr>
            <w:tcW w:w="1835"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GB/T16554</w:t>
            </w:r>
          </w:p>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810"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595" w:type="dxa"/>
            <w:vMerge w:val="continue"/>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p>
        </w:tc>
        <w:tc>
          <w:tcPr>
            <w:tcW w:w="190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000000"/>
                <w:kern w:val="0"/>
                <w:sz w:val="32"/>
                <w:szCs w:val="32"/>
                <w:lang w:val="en-US" w:eastAsia="zh-CN" w:bidi="ar"/>
              </w:rPr>
              <w:t>GB/T16554</w:t>
            </w:r>
          </w:p>
        </w:tc>
        <w:tc>
          <w:tcPr>
            <w:tcW w:w="1653"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切工分级</w:t>
            </w:r>
          </w:p>
        </w:tc>
        <w:tc>
          <w:tcPr>
            <w:tcW w:w="1835" w:type="dxa"/>
            <w:noWrap w:val="0"/>
            <w:vAlign w:val="center"/>
          </w:tcPr>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GB/T16554</w:t>
            </w:r>
          </w:p>
          <w:p>
            <w:pPr>
              <w:keepNext w:val="0"/>
              <w:keepLines w:val="0"/>
              <w:pageBreakBefore w:val="0"/>
              <w:kinsoku/>
              <w:wordWrap/>
              <w:overflowPunct/>
              <w:topLinePunct w:val="0"/>
              <w:bidi w:val="0"/>
              <w:snapToGrid/>
              <w:spacing w:line="600" w:lineRule="exact"/>
              <w:jc w:val="center"/>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w:t>
            </w:r>
          </w:p>
        </w:tc>
      </w:tr>
    </w:tbl>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center"/>
        <w:textAlignment w:val="auto"/>
        <w:rPr>
          <w:rFonts w:hint="eastAsia" w:ascii="方正仿宋_GBK" w:hAnsi="方正仿宋_GBK" w:eastAsia="方正仿宋_GBK" w:cs="方正仿宋_GBK"/>
          <w:bCs/>
          <w:kern w:val="2"/>
          <w:sz w:val="32"/>
          <w:szCs w:val="32"/>
          <w:lang w:val="en-US" w:eastAsia="zh-CN" w:bidi="ar-SA"/>
        </w:rPr>
      </w:pPr>
    </w:p>
    <w:p>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4.2 产品标识检查</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kern w:val="2"/>
          <w:sz w:val="32"/>
          <w:szCs w:val="32"/>
          <w:lang w:val="en-US" w:eastAsia="zh-CN" w:bidi="ar-SA"/>
        </w:rPr>
      </w:pPr>
      <w:r>
        <w:rPr>
          <w:rFonts w:hint="eastAsia" w:ascii="方正仿宋_GBK" w:hAnsi="方正仿宋_GBK" w:eastAsia="方正仿宋_GBK" w:cs="方正仿宋_GBK"/>
          <w:bCs/>
          <w:kern w:val="2"/>
          <w:sz w:val="32"/>
          <w:szCs w:val="32"/>
          <w:lang w:val="en-US" w:eastAsia="zh-CN" w:bidi="ar-SA"/>
        </w:rPr>
        <w:t xml:space="preserve">贵金属、珠宝饰品产品标识（包括印记、标签、说明书、合格证、包装等）检查内容包括： </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lang w:val="en-US" w:eastAsia="zh-CN"/>
        </w:rPr>
        <w:t>1、贵金属类产品印记：检查是否按照GB11887-2012《首饰 贵金属纯度的规定及命名方法》</w:t>
      </w:r>
      <w:r>
        <w:rPr>
          <w:rFonts w:hint="eastAsia" w:ascii="方正仿宋_GBK" w:hAnsi="方正仿宋_GBK" w:eastAsia="方正仿宋_GBK" w:cs="方正仿宋_GBK"/>
          <w:bCs/>
          <w:sz w:val="32"/>
          <w:szCs w:val="32"/>
          <w:lang w:val="en-US" w:eastAsia="zh-CN"/>
        </w:rPr>
        <w:t>及2015年第1号修改单</w:t>
      </w:r>
      <w:r>
        <w:rPr>
          <w:rFonts w:hint="eastAsia" w:ascii="方正仿宋_GBK" w:hAnsi="方正仿宋_GBK" w:eastAsia="方正仿宋_GBK" w:cs="方正仿宋_GBK"/>
          <w:kern w:val="0"/>
          <w:sz w:val="32"/>
          <w:szCs w:val="32"/>
          <w:lang w:val="en-US" w:eastAsia="zh-CN"/>
        </w:rPr>
        <w:t>标准的要求，标注齐全。</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lang w:val="en-US" w:eastAsia="zh-CN"/>
        </w:rPr>
        <w:t>2、贵金属纯度命名的正确性：检查是否符合GB11887-2012《首饰 贵金属纯度的规定及命名方法》</w:t>
      </w:r>
      <w:r>
        <w:rPr>
          <w:rFonts w:hint="eastAsia" w:ascii="方正仿宋_GBK" w:hAnsi="方正仿宋_GBK" w:eastAsia="方正仿宋_GBK" w:cs="方正仿宋_GBK"/>
          <w:bCs/>
          <w:sz w:val="32"/>
          <w:szCs w:val="32"/>
          <w:lang w:val="en-US" w:eastAsia="zh-CN"/>
        </w:rPr>
        <w:t>及2015年第1号修改单</w:t>
      </w:r>
      <w:r>
        <w:rPr>
          <w:rFonts w:hint="eastAsia" w:ascii="方正仿宋_GBK" w:hAnsi="方正仿宋_GBK" w:eastAsia="方正仿宋_GBK" w:cs="方正仿宋_GBK"/>
          <w:kern w:val="0"/>
          <w:sz w:val="32"/>
          <w:szCs w:val="32"/>
          <w:lang w:val="en-US" w:eastAsia="zh-CN"/>
        </w:rPr>
        <w:t>标准规定的要求；</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 xml:space="preserve">3、珠宝饰品名称的正确性：标注的珠宝饰品名称与检测结果是否存在实质性的不一致，包括产品名称是否错误、合成及处理方法是否标注等； </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lang w:val="en-US" w:eastAsia="zh-CN"/>
        </w:rPr>
        <w:t>4、珠宝饰品名称的规范性：检查是否符合GB/T16552-2017《珠宝玉石 名称》标准的命名规则。</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bCs/>
          <w:sz w:val="32"/>
          <w:szCs w:val="32"/>
          <w:lang w:eastAsia="zh-CN"/>
        </w:rPr>
      </w:pPr>
      <w:r>
        <w:rPr>
          <w:rFonts w:hint="eastAsia" w:ascii="方正仿宋_GBK" w:hAnsi="方正仿宋_GBK" w:eastAsia="方正仿宋_GBK" w:cs="方正仿宋_GBK"/>
          <w:kern w:val="0"/>
          <w:sz w:val="32"/>
          <w:szCs w:val="32"/>
          <w:lang w:val="en-US" w:eastAsia="zh-CN"/>
        </w:rPr>
        <w:t>5、标签内容是否齐全、正确：检查是否符合GB11887-2012《首饰 贵金属纯度的规定及命名方法》</w:t>
      </w:r>
      <w:r>
        <w:rPr>
          <w:rFonts w:hint="eastAsia" w:ascii="方正仿宋_GBK" w:hAnsi="方正仿宋_GBK" w:eastAsia="方正仿宋_GBK" w:cs="方正仿宋_GBK"/>
          <w:bCs/>
          <w:sz w:val="32"/>
          <w:szCs w:val="32"/>
          <w:lang w:val="en-US" w:eastAsia="zh-CN"/>
        </w:rPr>
        <w:t>及2015年第1号修改单</w:t>
      </w:r>
      <w:r>
        <w:rPr>
          <w:rFonts w:hint="eastAsia" w:ascii="方正仿宋_GBK" w:hAnsi="方正仿宋_GBK" w:eastAsia="方正仿宋_GBK" w:cs="方正仿宋_GBK"/>
          <w:kern w:val="0"/>
          <w:sz w:val="32"/>
          <w:szCs w:val="32"/>
          <w:lang w:val="en-US" w:eastAsia="zh-CN"/>
        </w:rPr>
        <w:t>、GB/T 31912-2015《饰品 标识》标准的要求。</w:t>
      </w:r>
    </w:p>
    <w:p>
      <w:pPr>
        <w:keepNext w:val="0"/>
        <w:keepLines w:val="0"/>
        <w:pageBreakBefore w:val="0"/>
        <w:numPr>
          <w:ilvl w:val="0"/>
          <w:numId w:val="0"/>
        </w:numPr>
        <w:kinsoku/>
        <w:wordWrap/>
        <w:overflowPunct/>
        <w:topLinePunct w:val="0"/>
        <w:autoSpaceDE w:val="0"/>
        <w:autoSpaceDN w:val="0"/>
        <w:bidi w:val="0"/>
        <w:adjustRightInd w:val="0"/>
        <w:snapToGrid/>
        <w:spacing w:line="600" w:lineRule="exact"/>
        <w:ind w:leftChars="0"/>
        <w:jc w:val="left"/>
        <w:textAlignment w:val="auto"/>
        <w:rPr>
          <w:rFonts w:hint="eastAsia" w:ascii="方正黑体_GBK" w:hAnsi="方正黑体_GBK" w:eastAsia="方正黑体_GBK" w:cs="方正黑体_GBK"/>
          <w:bCs/>
          <w:sz w:val="32"/>
          <w:szCs w:val="32"/>
          <w:lang w:eastAsia="zh-CN"/>
        </w:rPr>
      </w:pPr>
      <w:r>
        <w:rPr>
          <w:rFonts w:hint="eastAsia" w:ascii="方正黑体_GBK" w:hAnsi="方正黑体_GBK" w:eastAsia="方正黑体_GBK" w:cs="方正黑体_GBK"/>
          <w:bCs/>
          <w:sz w:val="32"/>
          <w:szCs w:val="32"/>
          <w:lang w:eastAsia="zh-CN"/>
        </w:rPr>
        <w:t>五、判定原则</w:t>
      </w:r>
    </w:p>
    <w:p>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六、</w:t>
      </w:r>
      <w:r>
        <w:rPr>
          <w:rFonts w:hint="eastAsia" w:ascii="方正黑体_GBK" w:hAnsi="方正黑体_GBK" w:eastAsia="方正黑体_GBK" w:cs="方正黑体_GBK"/>
          <w:kern w:val="0"/>
          <w:sz w:val="32"/>
          <w:szCs w:val="32"/>
        </w:rPr>
        <w:t>异议处理</w:t>
      </w:r>
    </w:p>
    <w:p>
      <w:pPr>
        <w:keepNext w:val="0"/>
        <w:keepLines w:val="0"/>
        <w:pageBreakBefore w:val="0"/>
        <w:kinsoku/>
        <w:wordWrap/>
        <w:overflowPunct/>
        <w:topLinePunct w:val="0"/>
        <w:autoSpaceDE w:val="0"/>
        <w:autoSpaceDN w:val="0"/>
        <w:bidi w:val="0"/>
        <w:adjustRightInd w:val="0"/>
        <w:snapToGrid/>
        <w:spacing w:line="600" w:lineRule="exact"/>
        <w:ind w:firstLine="480" w:firstLineChars="150"/>
        <w:jc w:val="left"/>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 xml:space="preserve">6.1 </w:t>
      </w:r>
      <w:r>
        <w:rPr>
          <w:rFonts w:hint="eastAsia" w:ascii="方正仿宋_GBK" w:hAnsi="方正仿宋_GBK" w:eastAsia="方正仿宋_GBK" w:cs="方正仿宋_GBK"/>
          <w:kern w:val="0"/>
          <w:sz w:val="32"/>
          <w:szCs w:val="32"/>
        </w:rPr>
        <w:t>对不合格产品的异议处理，按以下方式进行：</w:t>
      </w:r>
    </w:p>
    <w:p>
      <w:pPr>
        <w:keepNext w:val="0"/>
        <w:keepLines w:val="0"/>
        <w:pageBreakBefore w:val="0"/>
        <w:kinsoku/>
        <w:wordWrap/>
        <w:overflowPunct/>
        <w:topLinePunct w:val="0"/>
        <w:autoSpaceDE w:val="0"/>
        <w:autoSpaceDN w:val="0"/>
        <w:bidi w:val="0"/>
        <w:adjustRightInd w:val="0"/>
        <w:snapToGrid/>
        <w:spacing w:line="600" w:lineRule="exact"/>
        <w:ind w:firstLine="480" w:firstLineChars="150"/>
        <w:jc w:val="left"/>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a）核查不合格项目相关证据，能够以记录（纸质、电子或影像记录）或与不合格项目相关联的其它质量数据等证明原结论；</w:t>
      </w:r>
    </w:p>
    <w:p>
      <w:pPr>
        <w:keepNext w:val="0"/>
        <w:keepLines w:val="0"/>
        <w:pageBreakBefore w:val="0"/>
        <w:kinsoku/>
        <w:wordWrap/>
        <w:overflowPunct/>
        <w:topLinePunct w:val="0"/>
        <w:autoSpaceDE w:val="0"/>
        <w:autoSpaceDN w:val="0"/>
        <w:bidi w:val="0"/>
        <w:adjustRightInd w:val="0"/>
        <w:snapToGrid/>
        <w:spacing w:line="600" w:lineRule="exact"/>
        <w:ind w:firstLine="480" w:firstLineChars="150"/>
        <w:jc w:val="left"/>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b）对复检并具备检验条件的，按照监督抽查方案对检验样品进行复检并出具报告；</w:t>
      </w:r>
    </w:p>
    <w:p>
      <w:pPr>
        <w:keepNext w:val="0"/>
        <w:keepLines w:val="0"/>
        <w:pageBreakBefore w:val="0"/>
        <w:kinsoku/>
        <w:wordWrap/>
        <w:overflowPunct/>
        <w:topLinePunct w:val="0"/>
        <w:autoSpaceDE w:val="0"/>
        <w:autoSpaceDN w:val="0"/>
        <w:bidi w:val="0"/>
        <w:adjustRightInd w:val="0"/>
        <w:snapToGrid/>
        <w:spacing w:line="600" w:lineRule="exact"/>
        <w:ind w:firstLine="480" w:firstLineChars="150"/>
        <w:jc w:val="left"/>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c）对样品信息有异议的，核查样品确认情况和生产企业提交证明材料，提出处理建议。</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 xml:space="preserve">6.2 </w:t>
      </w:r>
      <w:r>
        <w:rPr>
          <w:rFonts w:hint="eastAsia" w:ascii="方正仿宋_GBK" w:hAnsi="方正仿宋_GBK" w:eastAsia="方正仿宋_GBK" w:cs="方正仿宋_GBK"/>
          <w:kern w:val="0"/>
          <w:sz w:val="32"/>
          <w:szCs w:val="32"/>
        </w:rPr>
        <w:t>留样再测</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rPr>
        <w:t>本次监督抽查检测方法为无损检测，原样可进行多次检测，且不影响检测结果。留样再测项目与检测项目相同</w:t>
      </w:r>
      <w:r>
        <w:rPr>
          <w:rFonts w:hint="eastAsia" w:ascii="方正仿宋_GBK" w:hAnsi="方正仿宋_GBK" w:eastAsia="方正仿宋_GBK" w:cs="方正仿宋_GBK"/>
          <w:kern w:val="0"/>
          <w:sz w:val="32"/>
          <w:szCs w:val="32"/>
          <w:lang w:eastAsia="zh-CN"/>
        </w:rPr>
        <w:t>。</w:t>
      </w:r>
    </w:p>
    <w:p>
      <w:pPr>
        <w:kinsoku/>
        <w:wordWrap/>
        <w:overflowPunct/>
        <w:topLinePunct w:val="0"/>
        <w:bidi w:val="0"/>
        <w:spacing w:line="600" w:lineRule="exact"/>
        <w:rPr>
          <w:rFonts w:hint="eastAsia" w:asciiTheme="minorEastAsia" w:hAnsiTheme="minorEastAsia" w:eastAsiaTheme="minorEastAsia" w:cstheme="minorEastAsia"/>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embedRegular r:id="rId1" w:fontKey="{23BF00E5-5223-48A3-BD85-BA1D55CD149B}"/>
  </w:font>
  <w:font w:name="方正黑体_GBK">
    <w:panose1 w:val="03000509000000000000"/>
    <w:charset w:val="86"/>
    <w:family w:val="auto"/>
    <w:pitch w:val="default"/>
    <w:sig w:usb0="00000001" w:usb1="080E0000" w:usb2="00000000" w:usb3="00000000" w:csb0="00040000" w:csb1="00000000"/>
    <w:embedRegular r:id="rId2" w:fontKey="{D5942F96-8BF3-4DD6-8A11-3B6B131FD1B1}"/>
  </w:font>
  <w:font w:name="方正仿宋_GBK">
    <w:panose1 w:val="03000509000000000000"/>
    <w:charset w:val="86"/>
    <w:family w:val="auto"/>
    <w:pitch w:val="default"/>
    <w:sig w:usb0="00000001" w:usb1="080E0000" w:usb2="00000000" w:usb3="00000000" w:csb0="00040000" w:csb1="00000000"/>
    <w:embedRegular r:id="rId3" w:fontKey="{340CE675-545A-4718-B3BA-65B5E3C1E0C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kZjk3MDEzYjcxYTExOWE2MDcyZDY1NGVjMTJhYTUifQ=="/>
  </w:docVars>
  <w:rsids>
    <w:rsidRoot w:val="00397D58"/>
    <w:rsid w:val="000F755D"/>
    <w:rsid w:val="00107BEE"/>
    <w:rsid w:val="001C61FA"/>
    <w:rsid w:val="002D6CD2"/>
    <w:rsid w:val="0035540C"/>
    <w:rsid w:val="00397D58"/>
    <w:rsid w:val="003B4B99"/>
    <w:rsid w:val="00574618"/>
    <w:rsid w:val="005773BF"/>
    <w:rsid w:val="005C5779"/>
    <w:rsid w:val="009810FC"/>
    <w:rsid w:val="00A06245"/>
    <w:rsid w:val="00AF5C1F"/>
    <w:rsid w:val="00BF5D9B"/>
    <w:rsid w:val="00E7773A"/>
    <w:rsid w:val="00E9762F"/>
    <w:rsid w:val="00EC4A1B"/>
    <w:rsid w:val="00EF5892"/>
    <w:rsid w:val="00F26BD3"/>
    <w:rsid w:val="03FA7E3F"/>
    <w:rsid w:val="043568A1"/>
    <w:rsid w:val="054F6C10"/>
    <w:rsid w:val="083D0D71"/>
    <w:rsid w:val="123C33C2"/>
    <w:rsid w:val="2074165D"/>
    <w:rsid w:val="20AD442C"/>
    <w:rsid w:val="26CA330F"/>
    <w:rsid w:val="26E356D8"/>
    <w:rsid w:val="284B2D23"/>
    <w:rsid w:val="2E7C72C0"/>
    <w:rsid w:val="2F7BE103"/>
    <w:rsid w:val="344830A0"/>
    <w:rsid w:val="360E30EA"/>
    <w:rsid w:val="368A1E9C"/>
    <w:rsid w:val="39A41139"/>
    <w:rsid w:val="39DA5E57"/>
    <w:rsid w:val="3A617B60"/>
    <w:rsid w:val="3B9306B4"/>
    <w:rsid w:val="3B9F4001"/>
    <w:rsid w:val="3CC22A6C"/>
    <w:rsid w:val="4B59198A"/>
    <w:rsid w:val="546D3F89"/>
    <w:rsid w:val="561B3EF5"/>
    <w:rsid w:val="58DE6754"/>
    <w:rsid w:val="698260EF"/>
    <w:rsid w:val="76BE61D4"/>
    <w:rsid w:val="7D90280C"/>
    <w:rsid w:val="FF5FEDE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7"/>
    <w:semiHidden/>
    <w:unhideWhenUsed/>
    <w:qFormat/>
    <w:uiPriority w:val="99"/>
    <w:pPr>
      <w:ind w:left="100" w:leftChars="2500"/>
    </w:p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日期 Char"/>
    <w:basedOn w:val="6"/>
    <w:link w:val="2"/>
    <w:semiHidden/>
    <w:qFormat/>
    <w:uiPriority w:val="99"/>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p0"/>
    <w:basedOn w:val="1"/>
    <w:qFormat/>
    <w:uiPriority w:val="99"/>
    <w:pPr>
      <w:widowControl/>
      <w:autoSpaceDE w:val="0"/>
      <w:autoSpaceDN w:val="0"/>
      <w:jc w:val="left"/>
    </w:pPr>
    <w:rPr>
      <w:rFonts w:ascii="Times New Roman" w:hAnsi="Times New Roman" w:eastAsia="宋体" w:cs="Times New Roman"/>
      <w:kern w:val="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1759</Words>
  <Characters>2259</Characters>
  <Lines>33</Lines>
  <Paragraphs>9</Paragraphs>
  <TotalTime>3947</TotalTime>
  <ScaleCrop>false</ScaleCrop>
  <LinksUpToDate>false</LinksUpToDate>
  <CharactersWithSpaces>2302</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2020-11-09T14:31:00Z</dcterms:created>
  <dc:creator>user</dc:creator>
  <cp:lastModifiedBy>user</cp:lastModifiedBy>
  <cp:lastPrinted>2020-11-10T10:25:00Z</cp:lastPrinted>
  <dcterms:modified xsi:type="dcterms:W3CDTF">2026-04-17T09:05:30Z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5E0DA98957384711AD774677822A075C</vt:lpwstr>
  </property>
  <property fmtid="{D5CDD505-2E9C-101B-9397-08002B2CF9AE}" pid="4" name="KSOTemplateDocerSaveRecord">
    <vt:lpwstr>eyJoZGlkIjoiZTJiZTUyN2M5MGIwOWM0ZDA4ODM4NzgzZjBlNjMyZmMiLCJ1c2VySWQiOiI2MjkwNzMzODQifQ==</vt:lpwstr>
  </property>
</Properties>
</file>