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hint="eastAsia" w:ascii="方正小标宋_GBK" w:hAnsi="方正小标宋_GBK" w:eastAsia="方正小标宋_GBK" w:cs="方正小标宋_GBK"/>
          <w:color w:val="000000"/>
          <w:sz w:val="44"/>
          <w:szCs w:val="44"/>
        </w:rPr>
      </w:pPr>
      <w:bookmarkStart w:id="4" w:name="_GoBack"/>
      <w:r>
        <w:rPr>
          <w:rFonts w:hint="eastAsia" w:ascii="方正小标宋_GBK" w:hAnsi="方正小标宋_GBK" w:eastAsia="方正小标宋_GBK" w:cs="方正小标宋_GBK"/>
          <w:color w:val="000000"/>
          <w:sz w:val="44"/>
          <w:szCs w:val="44"/>
        </w:rPr>
        <w:t>南通市太阳镜产品质量监督抽查实施细则</w:t>
      </w:r>
    </w:p>
    <w:p>
      <w:pPr>
        <w:snapToGrid w:val="0"/>
        <w:spacing w:line="60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（2026年版）</w:t>
      </w:r>
    </w:p>
    <w:bookmarkEnd w:id="4"/>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1、范围</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本细则适用于南通市市场监督管理局组织的太阳镜产品质量监督抽查检验。本细则规定了此产品的抽样方法、检验依据、检验项目、检验方法、判定原则、异议处理及复检。</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2、抽样方法</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 xml:space="preserve">在市场待销产品中随机抽取有产品质量检验合格证明或者以其他形式表明合格的、近期生产的产品。随机抽取样品3副，不抽取备样。同一生产企业按照同一标准生产的同一商标、同一规格型号产品在同一抽样领域不得重复抽样。每个地区原则上应当尽量覆盖商场、超市、专卖店或便利店（杂货店）3类实体店，若地区实体店不能完全覆盖3类实体店的，根据区域实际分布情况进行调整，尽量保证该地区总抽样数不变。 </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为确保样品的完好有效，每副太阳镜应附有完整的出厂标识、标签等。在运输和寄送过程中应适当防护，防止样品变形或破损。</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3、检验依据</w:t>
      </w:r>
    </w:p>
    <w:tbl>
      <w:tblPr>
        <w:tblStyle w:val="5"/>
        <w:tblW w:w="8309" w:type="dxa"/>
        <w:jc w:val="center"/>
        <w:tblBorders>
          <w:top w:val="single" w:color="auto" w:sz="4" w:space="0"/>
          <w:left w:val="single" w:color="auto" w:sz="6"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18"/>
        <w:gridCol w:w="2445"/>
        <w:gridCol w:w="2549"/>
        <w:gridCol w:w="2497"/>
      </w:tblGrid>
      <w:tr>
        <w:tblPrEx>
          <w:tblBorders>
            <w:top w:val="single" w:color="auto" w:sz="4" w:space="0"/>
            <w:left w:val="single" w:color="auto" w:sz="6"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30" w:hRule="atLeast"/>
          <w:tblHeader/>
          <w:jc w:val="center"/>
        </w:trPr>
        <w:tc>
          <w:tcPr>
            <w:tcW w:w="818" w:type="dxa"/>
            <w:tcBorders>
              <w:top w:val="single" w:color="auto" w:sz="4" w:space="0"/>
              <w:left w:val="single" w:color="auto" w:sz="6"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序号</w:t>
            </w:r>
          </w:p>
        </w:tc>
        <w:tc>
          <w:tcPr>
            <w:tcW w:w="2445"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检验检测项目</w:t>
            </w:r>
          </w:p>
        </w:tc>
        <w:tc>
          <w:tcPr>
            <w:tcW w:w="2549"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依据法律法规或标准条款</w:t>
            </w:r>
          </w:p>
        </w:tc>
        <w:tc>
          <w:tcPr>
            <w:tcW w:w="2497"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检测方法</w:t>
            </w:r>
          </w:p>
        </w:tc>
      </w:tr>
      <w:tr>
        <w:tblPrEx>
          <w:tblBorders>
            <w:top w:val="single" w:color="auto" w:sz="4" w:space="0"/>
            <w:left w:val="single" w:color="auto" w:sz="6"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30" w:hRule="atLeast"/>
          <w:tblHeader/>
          <w:jc w:val="center"/>
        </w:trPr>
        <w:tc>
          <w:tcPr>
            <w:tcW w:w="818" w:type="dxa"/>
            <w:tcBorders>
              <w:top w:val="single" w:color="auto" w:sz="4" w:space="0"/>
              <w:left w:val="single" w:color="auto" w:sz="6"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1</w:t>
            </w:r>
          </w:p>
        </w:tc>
        <w:tc>
          <w:tcPr>
            <w:tcW w:w="2445"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可见光透射比</w:t>
            </w:r>
          </w:p>
        </w:tc>
        <w:tc>
          <w:tcPr>
            <w:tcW w:w="2549"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bookmarkStart w:id="0" w:name="OLE_LINK2"/>
            <w:bookmarkStart w:id="1" w:name="OLE_LINK3"/>
            <w:bookmarkStart w:id="2" w:name="OLE_LINK4"/>
            <w:r>
              <w:rPr>
                <w:rFonts w:ascii="Times New Roman" w:hAnsi="Times New Roman" w:cs="Times New Roman"/>
                <w:sz w:val="32"/>
                <w:szCs w:val="32"/>
              </w:rPr>
              <w:t>GB 45185</w:t>
            </w:r>
          </w:p>
          <w:bookmarkEnd w:id="0"/>
          <w:bookmarkEnd w:id="1"/>
          <w:bookmarkEnd w:id="2"/>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 xml:space="preserve"> GB 39552.1</w:t>
            </w:r>
          </w:p>
        </w:tc>
        <w:tc>
          <w:tcPr>
            <w:tcW w:w="2497"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GB/T 39552.2</w:t>
            </w:r>
          </w:p>
        </w:tc>
      </w:tr>
      <w:tr>
        <w:tblPrEx>
          <w:tblBorders>
            <w:top w:val="single" w:color="auto" w:sz="4" w:space="0"/>
            <w:left w:val="single" w:color="auto" w:sz="6"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30" w:hRule="atLeast"/>
          <w:tblHeader/>
          <w:jc w:val="center"/>
        </w:trPr>
        <w:tc>
          <w:tcPr>
            <w:tcW w:w="818" w:type="dxa"/>
            <w:tcBorders>
              <w:top w:val="single" w:color="auto" w:sz="4" w:space="0"/>
              <w:left w:val="single" w:color="auto" w:sz="6"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2</w:t>
            </w:r>
          </w:p>
        </w:tc>
        <w:tc>
          <w:tcPr>
            <w:tcW w:w="2445"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太阳紫外A波段透射比</w:t>
            </w:r>
          </w:p>
        </w:tc>
        <w:tc>
          <w:tcPr>
            <w:tcW w:w="2549"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 45185</w:t>
            </w:r>
          </w:p>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 39552.1</w:t>
            </w:r>
          </w:p>
        </w:tc>
        <w:tc>
          <w:tcPr>
            <w:tcW w:w="2497"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GB/T 39552.2</w:t>
            </w:r>
          </w:p>
        </w:tc>
      </w:tr>
      <w:tr>
        <w:tblPrEx>
          <w:tblBorders>
            <w:top w:val="single" w:color="auto" w:sz="4" w:space="0"/>
            <w:left w:val="single" w:color="auto" w:sz="6"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30" w:hRule="atLeast"/>
          <w:tblHeader/>
          <w:jc w:val="center"/>
        </w:trPr>
        <w:tc>
          <w:tcPr>
            <w:tcW w:w="818" w:type="dxa"/>
            <w:tcBorders>
              <w:top w:val="single" w:color="auto" w:sz="4" w:space="0"/>
              <w:left w:val="single" w:color="auto" w:sz="6"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3</w:t>
            </w:r>
          </w:p>
        </w:tc>
        <w:tc>
          <w:tcPr>
            <w:tcW w:w="2445"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太阳紫外B波段透射比</w:t>
            </w:r>
          </w:p>
        </w:tc>
        <w:tc>
          <w:tcPr>
            <w:tcW w:w="2549"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 45185</w:t>
            </w:r>
          </w:p>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 39552.1</w:t>
            </w:r>
          </w:p>
        </w:tc>
        <w:tc>
          <w:tcPr>
            <w:tcW w:w="2497"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GB/T 39552.2</w:t>
            </w:r>
          </w:p>
        </w:tc>
      </w:tr>
      <w:tr>
        <w:tblPrEx>
          <w:tblBorders>
            <w:top w:val="single" w:color="auto" w:sz="4" w:space="0"/>
            <w:left w:val="single" w:color="auto" w:sz="6"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30" w:hRule="atLeast"/>
          <w:tblHeader/>
          <w:jc w:val="center"/>
        </w:trPr>
        <w:tc>
          <w:tcPr>
            <w:tcW w:w="818" w:type="dxa"/>
            <w:tcBorders>
              <w:top w:val="single" w:color="auto" w:sz="4" w:space="0"/>
              <w:left w:val="single" w:color="auto" w:sz="6"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4</w:t>
            </w:r>
          </w:p>
        </w:tc>
        <w:tc>
          <w:tcPr>
            <w:tcW w:w="2445"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透射比均匀性</w:t>
            </w:r>
          </w:p>
        </w:tc>
        <w:tc>
          <w:tcPr>
            <w:tcW w:w="2549"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 45185</w:t>
            </w:r>
          </w:p>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 39552.1</w:t>
            </w:r>
          </w:p>
        </w:tc>
        <w:tc>
          <w:tcPr>
            <w:tcW w:w="2497"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GB/T 39552.2</w:t>
            </w:r>
          </w:p>
        </w:tc>
      </w:tr>
      <w:tr>
        <w:tblPrEx>
          <w:tblBorders>
            <w:top w:val="single" w:color="auto" w:sz="4" w:space="0"/>
            <w:left w:val="single" w:color="auto" w:sz="6"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30" w:hRule="atLeast"/>
          <w:tblHeader/>
          <w:jc w:val="center"/>
        </w:trPr>
        <w:tc>
          <w:tcPr>
            <w:tcW w:w="818" w:type="dxa"/>
            <w:tcBorders>
              <w:top w:val="single" w:color="auto" w:sz="4" w:space="0"/>
              <w:left w:val="single" w:color="auto" w:sz="6"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5</w:t>
            </w:r>
          </w:p>
        </w:tc>
        <w:tc>
          <w:tcPr>
            <w:tcW w:w="2445"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结构</w:t>
            </w:r>
          </w:p>
        </w:tc>
        <w:tc>
          <w:tcPr>
            <w:tcW w:w="2549"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 45185</w:t>
            </w:r>
          </w:p>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 39552.1</w:t>
            </w:r>
          </w:p>
        </w:tc>
        <w:tc>
          <w:tcPr>
            <w:tcW w:w="2497"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GB/T 39552.2</w:t>
            </w:r>
          </w:p>
        </w:tc>
      </w:tr>
      <w:tr>
        <w:tblPrEx>
          <w:tblBorders>
            <w:top w:val="single" w:color="auto" w:sz="4" w:space="0"/>
            <w:left w:val="single" w:color="auto" w:sz="6"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30" w:hRule="atLeast"/>
          <w:tblHeader/>
          <w:jc w:val="center"/>
        </w:trPr>
        <w:tc>
          <w:tcPr>
            <w:tcW w:w="818" w:type="dxa"/>
            <w:tcBorders>
              <w:top w:val="single" w:color="auto" w:sz="4" w:space="0"/>
              <w:left w:val="single" w:color="auto" w:sz="6"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6</w:t>
            </w:r>
          </w:p>
        </w:tc>
        <w:tc>
          <w:tcPr>
            <w:tcW w:w="2445"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镜片的材料和表面质量</w:t>
            </w:r>
          </w:p>
        </w:tc>
        <w:tc>
          <w:tcPr>
            <w:tcW w:w="2549"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 45185</w:t>
            </w:r>
          </w:p>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 39552.1</w:t>
            </w:r>
          </w:p>
        </w:tc>
        <w:tc>
          <w:tcPr>
            <w:tcW w:w="2497"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GB/T 39552.2</w:t>
            </w:r>
          </w:p>
        </w:tc>
      </w:tr>
      <w:tr>
        <w:tblPrEx>
          <w:tblBorders>
            <w:top w:val="single" w:color="auto" w:sz="4" w:space="0"/>
            <w:left w:val="single" w:color="auto" w:sz="6"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30" w:hRule="atLeast"/>
          <w:tblHeader/>
          <w:jc w:val="center"/>
        </w:trPr>
        <w:tc>
          <w:tcPr>
            <w:tcW w:w="818" w:type="dxa"/>
            <w:tcBorders>
              <w:top w:val="single" w:color="auto" w:sz="4" w:space="0"/>
              <w:left w:val="single" w:color="auto" w:sz="6"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7</w:t>
            </w:r>
          </w:p>
        </w:tc>
        <w:tc>
          <w:tcPr>
            <w:tcW w:w="2445"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行路与驾驶用太阳镜</w:t>
            </w:r>
          </w:p>
        </w:tc>
        <w:tc>
          <w:tcPr>
            <w:tcW w:w="2549"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 45185</w:t>
            </w:r>
          </w:p>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 39552.1</w:t>
            </w:r>
          </w:p>
        </w:tc>
        <w:tc>
          <w:tcPr>
            <w:tcW w:w="2497"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GB/T 39552.2</w:t>
            </w:r>
          </w:p>
        </w:tc>
      </w:tr>
      <w:tr>
        <w:tblPrEx>
          <w:tblBorders>
            <w:top w:val="single" w:color="auto" w:sz="4" w:space="0"/>
            <w:left w:val="single" w:color="auto" w:sz="6"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30" w:hRule="atLeast"/>
          <w:tblHeader/>
          <w:jc w:val="center"/>
        </w:trPr>
        <w:tc>
          <w:tcPr>
            <w:tcW w:w="818" w:type="dxa"/>
            <w:tcBorders>
              <w:top w:val="single" w:color="auto" w:sz="4" w:space="0"/>
              <w:left w:val="single" w:color="auto" w:sz="6"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8</w:t>
            </w:r>
          </w:p>
        </w:tc>
        <w:tc>
          <w:tcPr>
            <w:tcW w:w="2445"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鼻梁变形</w:t>
            </w:r>
          </w:p>
        </w:tc>
        <w:tc>
          <w:tcPr>
            <w:tcW w:w="2549"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 45185</w:t>
            </w:r>
          </w:p>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 39552.1</w:t>
            </w:r>
          </w:p>
        </w:tc>
        <w:tc>
          <w:tcPr>
            <w:tcW w:w="2497"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GB/T 39552.2</w:t>
            </w:r>
          </w:p>
        </w:tc>
      </w:tr>
      <w:tr>
        <w:tblPrEx>
          <w:tblBorders>
            <w:top w:val="single" w:color="auto" w:sz="4" w:space="0"/>
            <w:left w:val="single" w:color="auto" w:sz="6"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30" w:hRule="atLeast"/>
          <w:tblHeader/>
          <w:jc w:val="center"/>
        </w:trPr>
        <w:tc>
          <w:tcPr>
            <w:tcW w:w="818" w:type="dxa"/>
            <w:tcBorders>
              <w:top w:val="single" w:color="auto" w:sz="4" w:space="0"/>
              <w:left w:val="single" w:color="auto" w:sz="6"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9</w:t>
            </w:r>
          </w:p>
        </w:tc>
        <w:tc>
          <w:tcPr>
            <w:tcW w:w="2445"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透射比的明示要求</w:t>
            </w:r>
          </w:p>
        </w:tc>
        <w:tc>
          <w:tcPr>
            <w:tcW w:w="2549"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 45185</w:t>
            </w:r>
          </w:p>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 39552.1</w:t>
            </w:r>
          </w:p>
        </w:tc>
        <w:tc>
          <w:tcPr>
            <w:tcW w:w="2497"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GB/T 39552.2</w:t>
            </w:r>
          </w:p>
        </w:tc>
      </w:tr>
      <w:tr>
        <w:tblPrEx>
          <w:tblBorders>
            <w:top w:val="single" w:color="auto" w:sz="4" w:space="0"/>
            <w:left w:val="single" w:color="auto" w:sz="6"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30" w:hRule="atLeast"/>
          <w:tblHeader/>
          <w:jc w:val="center"/>
        </w:trPr>
        <w:tc>
          <w:tcPr>
            <w:tcW w:w="818" w:type="dxa"/>
            <w:tcBorders>
              <w:top w:val="single" w:color="auto" w:sz="4" w:space="0"/>
              <w:left w:val="single" w:color="auto" w:sz="6"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10</w:t>
            </w:r>
          </w:p>
        </w:tc>
        <w:tc>
          <w:tcPr>
            <w:tcW w:w="2445"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球镜度</w:t>
            </w:r>
          </w:p>
        </w:tc>
        <w:tc>
          <w:tcPr>
            <w:tcW w:w="2549"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 39552.1</w:t>
            </w:r>
          </w:p>
        </w:tc>
        <w:tc>
          <w:tcPr>
            <w:tcW w:w="2497"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GB/T 39552.2</w:t>
            </w:r>
          </w:p>
        </w:tc>
      </w:tr>
      <w:tr>
        <w:tblPrEx>
          <w:tblBorders>
            <w:top w:val="single" w:color="auto" w:sz="4" w:space="0"/>
            <w:left w:val="single" w:color="auto" w:sz="6"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30" w:hRule="atLeast"/>
          <w:tblHeader/>
          <w:jc w:val="center"/>
        </w:trPr>
        <w:tc>
          <w:tcPr>
            <w:tcW w:w="818" w:type="dxa"/>
            <w:tcBorders>
              <w:top w:val="single" w:color="auto" w:sz="4" w:space="0"/>
              <w:left w:val="single" w:color="auto" w:sz="6"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11</w:t>
            </w:r>
          </w:p>
        </w:tc>
        <w:tc>
          <w:tcPr>
            <w:tcW w:w="2445"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散光度</w:t>
            </w:r>
          </w:p>
        </w:tc>
        <w:tc>
          <w:tcPr>
            <w:tcW w:w="2549"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 45185</w:t>
            </w:r>
          </w:p>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 39552.1</w:t>
            </w:r>
          </w:p>
        </w:tc>
        <w:tc>
          <w:tcPr>
            <w:tcW w:w="2497"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GB/T 39552.2</w:t>
            </w:r>
          </w:p>
        </w:tc>
      </w:tr>
      <w:tr>
        <w:tblPrEx>
          <w:tblBorders>
            <w:top w:val="single" w:color="auto" w:sz="4" w:space="0"/>
            <w:left w:val="single" w:color="auto" w:sz="6"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30" w:hRule="atLeast"/>
          <w:tblHeader/>
          <w:jc w:val="center"/>
        </w:trPr>
        <w:tc>
          <w:tcPr>
            <w:tcW w:w="818" w:type="dxa"/>
            <w:tcBorders>
              <w:top w:val="single" w:color="auto" w:sz="4" w:space="0"/>
              <w:left w:val="single" w:color="auto" w:sz="6"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12</w:t>
            </w:r>
          </w:p>
        </w:tc>
        <w:tc>
          <w:tcPr>
            <w:tcW w:w="2445"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棱镜度</w:t>
            </w:r>
          </w:p>
        </w:tc>
        <w:tc>
          <w:tcPr>
            <w:tcW w:w="2549"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 45185</w:t>
            </w:r>
          </w:p>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 39552.1</w:t>
            </w:r>
          </w:p>
        </w:tc>
        <w:tc>
          <w:tcPr>
            <w:tcW w:w="2497"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GB/T 39552.2</w:t>
            </w:r>
          </w:p>
        </w:tc>
      </w:tr>
      <w:tr>
        <w:tblPrEx>
          <w:tblBorders>
            <w:top w:val="single" w:color="auto" w:sz="4" w:space="0"/>
            <w:left w:val="single" w:color="auto" w:sz="6"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30" w:hRule="atLeast"/>
          <w:tblHeader/>
          <w:jc w:val="center"/>
        </w:trPr>
        <w:tc>
          <w:tcPr>
            <w:tcW w:w="818" w:type="dxa"/>
            <w:tcBorders>
              <w:top w:val="single" w:color="auto" w:sz="4" w:space="0"/>
              <w:left w:val="single" w:color="auto" w:sz="6"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13</w:t>
            </w:r>
          </w:p>
        </w:tc>
        <w:tc>
          <w:tcPr>
            <w:tcW w:w="2445"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rPr>
                <w:rFonts w:ascii="Times New Roman" w:hAnsi="Times New Roman" w:cs="Times New Roman"/>
                <w:sz w:val="32"/>
                <w:szCs w:val="32"/>
              </w:rPr>
            </w:pPr>
            <w:r>
              <w:rPr>
                <w:rFonts w:ascii="Times New Roman" w:hAnsi="Times New Roman" w:cs="Times New Roman"/>
                <w:sz w:val="32"/>
                <w:szCs w:val="32"/>
              </w:rPr>
              <w:t>相对衰减视觉因子</w:t>
            </w:r>
          </w:p>
        </w:tc>
        <w:tc>
          <w:tcPr>
            <w:tcW w:w="2549"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 45185</w:t>
            </w:r>
          </w:p>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 39552.1</w:t>
            </w:r>
          </w:p>
        </w:tc>
        <w:tc>
          <w:tcPr>
            <w:tcW w:w="2497"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GB/T 39552.2</w:t>
            </w:r>
          </w:p>
        </w:tc>
      </w:tr>
      <w:tr>
        <w:tblPrEx>
          <w:tblBorders>
            <w:top w:val="single" w:color="auto" w:sz="4" w:space="0"/>
            <w:left w:val="single" w:color="auto" w:sz="6"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30" w:hRule="atLeast"/>
          <w:tblHeader/>
          <w:jc w:val="center"/>
        </w:trPr>
        <w:tc>
          <w:tcPr>
            <w:tcW w:w="818" w:type="dxa"/>
            <w:tcBorders>
              <w:top w:val="single" w:color="auto" w:sz="4" w:space="0"/>
              <w:left w:val="single" w:color="auto" w:sz="6"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14</w:t>
            </w:r>
          </w:p>
        </w:tc>
        <w:tc>
          <w:tcPr>
            <w:tcW w:w="2445"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太阳镜镜片尺寸</w:t>
            </w:r>
          </w:p>
        </w:tc>
        <w:tc>
          <w:tcPr>
            <w:tcW w:w="2549"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 39552.1</w:t>
            </w:r>
          </w:p>
        </w:tc>
        <w:tc>
          <w:tcPr>
            <w:tcW w:w="2497"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GB/T 39552.2</w:t>
            </w:r>
          </w:p>
        </w:tc>
      </w:tr>
      <w:tr>
        <w:tblPrEx>
          <w:tblBorders>
            <w:top w:val="single" w:color="auto" w:sz="4" w:space="0"/>
            <w:left w:val="single" w:color="auto" w:sz="6"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30" w:hRule="atLeast"/>
          <w:tblHeader/>
          <w:jc w:val="center"/>
        </w:trPr>
        <w:tc>
          <w:tcPr>
            <w:tcW w:w="818" w:type="dxa"/>
            <w:tcBorders>
              <w:top w:val="single" w:color="auto" w:sz="4" w:space="0"/>
              <w:left w:val="single" w:color="auto" w:sz="6"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15</w:t>
            </w:r>
          </w:p>
        </w:tc>
        <w:tc>
          <w:tcPr>
            <w:tcW w:w="2445"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标志</w:t>
            </w:r>
          </w:p>
        </w:tc>
        <w:tc>
          <w:tcPr>
            <w:tcW w:w="2549"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 39552.1</w:t>
            </w:r>
          </w:p>
        </w:tc>
        <w:tc>
          <w:tcPr>
            <w:tcW w:w="2497"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Times New Roman" w:hAnsi="Times New Roman" w:cs="Times New Roman"/>
                <w:sz w:val="32"/>
                <w:szCs w:val="32"/>
              </w:rPr>
            </w:pPr>
            <w:r>
              <w:rPr>
                <w:rFonts w:ascii="Times New Roman" w:hAnsi="Times New Roman" w:cs="Times New Roman"/>
                <w:sz w:val="32"/>
                <w:szCs w:val="32"/>
              </w:rPr>
              <w:t>GB/T 39552.2</w:t>
            </w:r>
          </w:p>
        </w:tc>
      </w:tr>
    </w:tbl>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检验依据包括国家法律法规，国家和省有关规定。监督抽查产品相应的国家标准、行业标准、地方标准、团体标准、企业标准以及企业明示的其它执行标准、技术文件和产品质量承诺。凡是注日期的文件，其随后所有的修改单（不包括勘误的内容）或修订版不适用于本方案。凡是不注日期的文件，其最新版本适用于本方案。</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4、判定规则</w:t>
      </w:r>
    </w:p>
    <w:p>
      <w:pPr>
        <w:spacing w:line="600" w:lineRule="exact"/>
        <w:rPr>
          <w:rFonts w:cs="方正仿宋_GBK" w:asciiTheme="minorEastAsia" w:hAnsiTheme="minorEastAsia"/>
          <w:sz w:val="32"/>
          <w:szCs w:val="32"/>
        </w:rPr>
      </w:pPr>
      <w:r>
        <w:rPr>
          <w:rFonts w:hint="eastAsia" w:cs="方正仿宋_GBK" w:asciiTheme="minorEastAsia" w:hAnsiTheme="minorEastAsia"/>
          <w:sz w:val="32"/>
          <w:szCs w:val="32"/>
        </w:rPr>
        <w:t xml:space="preserve">    4.1依据标准</w:t>
      </w:r>
    </w:p>
    <w:p>
      <w:pPr>
        <w:spacing w:line="600" w:lineRule="exact"/>
        <w:ind w:firstLine="640" w:firstLineChars="200"/>
        <w:rPr>
          <w:rFonts w:cs="方正仿宋_GBK" w:asciiTheme="minorEastAsia" w:hAnsiTheme="minorEastAsia"/>
          <w:sz w:val="32"/>
          <w:szCs w:val="32"/>
        </w:rPr>
      </w:pPr>
      <w:bookmarkStart w:id="3" w:name="OLE_LINK1"/>
      <w:r>
        <w:rPr>
          <w:rFonts w:hint="eastAsia" w:cs="方正仿宋_GBK" w:asciiTheme="minorEastAsia" w:hAnsiTheme="minorEastAsia"/>
          <w:sz w:val="32"/>
          <w:szCs w:val="32"/>
        </w:rPr>
        <w:t>GB 45185-2024</w:t>
      </w:r>
      <w:bookmarkEnd w:id="3"/>
      <w:r>
        <w:rPr>
          <w:rFonts w:hint="eastAsia" w:cs="方正仿宋_GBK" w:asciiTheme="minorEastAsia" w:hAnsiTheme="minorEastAsia"/>
          <w:sz w:val="32"/>
          <w:szCs w:val="32"/>
        </w:rPr>
        <w:t xml:space="preserve">  眼视光产品 成品眼镜安全技术规范</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GB 39552.1-2020 太阳镜和太阳镜片第1部分:通用要求</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GB/T 39552.2-2020 太阳镜和太阳镜片 第2部分：试验方法</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GB/T 14214-2019  眼镜架 通用要求和试验方法</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QB/T 2506-2017  眼镜镜片 光学树脂镜片</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现行有效的企业标准、团体标准、地方标准及产品明示质量要求</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4.2判定原则</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抽查太阳镜产品经检验，检验项目全部合格，判定为被抽查产品未发现不合格；检验项目中任一项或一项以上不合格，判定为被抽查产品不合格。</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若被检产品明示的质量要求高于本细则中检验项目依据的标准要求时，应按被检产品明示的质量要求判定。</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若被检产品明示的质量要求低于本细则中检验项目依据的强制性标准要求时，应按照强制性标准要求判定。</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若被检产品明示的质量要求低于或包含细则中检验项目依据的推荐性标准要求时，应以被检产品明示的质量要求判定，但应在检验报告备注中进行说明。</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若被检产品明示的质量要求缺少本细则中检验项目依据的强制性标准要求时，应按照强制性标准要求判定。</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若被检产品明示的质量要求缺少本细则中检验项目依据的推荐性标准要求时，该项目不参与判定，但应在检验报告备注中进行说明。</w:t>
      </w:r>
    </w:p>
    <w:p>
      <w:pPr>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5、异议处理</w:t>
      </w:r>
    </w:p>
    <w:p>
      <w:pPr>
        <w:tabs>
          <w:tab w:val="left" w:pos="5310"/>
        </w:tabs>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5.1对监督抽查程序有异议的，由任务下达部门核查相关证据后维持或者撤销原检验结果。</w:t>
      </w:r>
    </w:p>
    <w:p>
      <w:pPr>
        <w:tabs>
          <w:tab w:val="left" w:pos="5310"/>
        </w:tabs>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5.2对检验结果有异议的，任务下达部门核查相关证据，能够证明原检验结果准确的，维持原检验结果；不能证明原检验结果准确，需要进行复检的，由任务下达部门指定复检机构进行复检，复检为原样复检，复检结果为本次监督抽查最终结论。</w:t>
      </w:r>
    </w:p>
    <w:p>
      <w:pPr>
        <w:tabs>
          <w:tab w:val="left" w:pos="5310"/>
        </w:tabs>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5.3对样品信息有异议的，任务下达部门核查样品确认情况和生产企业提交证明材料后，维持或者撤销原检验结果。</w:t>
      </w:r>
    </w:p>
    <w:p>
      <w:pPr>
        <w:tabs>
          <w:tab w:val="left" w:pos="5310"/>
        </w:tabs>
        <w:spacing w:line="600" w:lineRule="exac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5.4本次太阳镜产品质量监督抽查无不予复检的情况。</w:t>
      </w:r>
    </w:p>
    <w:p>
      <w:pPr>
        <w:tabs>
          <w:tab w:val="left" w:pos="5310"/>
        </w:tabs>
        <w:spacing w:line="600" w:lineRule="exact"/>
        <w:ind w:firstLine="640" w:firstLineChars="200"/>
        <w:rPr>
          <w:rFonts w:ascii="方正仿宋_GBK" w:hAnsi="方正仿宋_GBK" w:eastAsia="方正仿宋_GBK" w:cs="方正仿宋_GBK"/>
          <w:sz w:val="32"/>
          <w:szCs w:val="32"/>
        </w:rPr>
      </w:pPr>
    </w:p>
    <w:p>
      <w:pPr>
        <w:spacing w:line="600" w:lineRule="exact"/>
        <w:ind w:firstLine="640" w:firstLineChars="200"/>
        <w:rPr>
          <w:rFonts w:ascii="Times New Roman" w:hAnsi="Times New Roman" w:eastAsia="黑体" w:cs="Times New Roman"/>
          <w:bCs/>
          <w:sz w:val="32"/>
          <w:szCs w:val="32"/>
        </w:rPr>
      </w:pPr>
      <w:r>
        <w:rPr>
          <w:rFonts w:ascii="Times New Roman" w:hAnsi="Times New Roman" w:eastAsia="黑体" w:cs="Times New Roman"/>
          <w:bCs/>
          <w:sz w:val="32"/>
          <w:szCs w:val="32"/>
        </w:rPr>
        <w:t xml:space="preserve">    </w:t>
      </w:r>
      <w:r>
        <w:rPr>
          <w:rFonts w:hint="eastAsia" w:ascii="Times New Roman" w:hAnsi="Times New Roman" w:eastAsia="黑体" w:cs="Times New Roman"/>
          <w:bCs/>
          <w:sz w:val="32"/>
          <w:szCs w:val="32"/>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697719"/>
      <w:docPartObj>
        <w:docPartGallery w:val="autotext"/>
      </w:docPartObj>
    </w:sdtPr>
    <w:sdtContent>
      <w:p>
        <w:pPr>
          <w:pStyle w:val="3"/>
          <w:jc w:val="center"/>
        </w:pP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lang w:val="zh-CN"/>
          </w:rPr>
          <w:t>1</w:t>
        </w:r>
        <w:r>
          <w:rPr>
            <w:rFonts w:asciiTheme="minorEastAsia" w:hAnsiTheme="minorEastAsia"/>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yMDE2YjQ0MTdhYjcwMGRmZWViZTdhMmFhYzgwMTMifQ=="/>
  </w:docVars>
  <w:rsids>
    <w:rsidRoot w:val="00397D58"/>
    <w:rsid w:val="00094968"/>
    <w:rsid w:val="000B3A9A"/>
    <w:rsid w:val="000B72D3"/>
    <w:rsid w:val="000F755D"/>
    <w:rsid w:val="000F796E"/>
    <w:rsid w:val="00107BEE"/>
    <w:rsid w:val="00132F75"/>
    <w:rsid w:val="00153A21"/>
    <w:rsid w:val="0018531A"/>
    <w:rsid w:val="001B3F3C"/>
    <w:rsid w:val="001C61FA"/>
    <w:rsid w:val="001F7691"/>
    <w:rsid w:val="001F76E5"/>
    <w:rsid w:val="00221477"/>
    <w:rsid w:val="00223915"/>
    <w:rsid w:val="00235E4B"/>
    <w:rsid w:val="002A378E"/>
    <w:rsid w:val="002D6CD2"/>
    <w:rsid w:val="002D7B89"/>
    <w:rsid w:val="002E3BEB"/>
    <w:rsid w:val="00344971"/>
    <w:rsid w:val="0035540C"/>
    <w:rsid w:val="00385BEF"/>
    <w:rsid w:val="00397D58"/>
    <w:rsid w:val="003B4B99"/>
    <w:rsid w:val="003D3CCC"/>
    <w:rsid w:val="003E70E5"/>
    <w:rsid w:val="004205B3"/>
    <w:rsid w:val="004407CD"/>
    <w:rsid w:val="00464C90"/>
    <w:rsid w:val="00465E9A"/>
    <w:rsid w:val="0047618D"/>
    <w:rsid w:val="004A0F54"/>
    <w:rsid w:val="00504166"/>
    <w:rsid w:val="00564BEA"/>
    <w:rsid w:val="00574618"/>
    <w:rsid w:val="005773BF"/>
    <w:rsid w:val="005C5779"/>
    <w:rsid w:val="005F1B60"/>
    <w:rsid w:val="00600CE5"/>
    <w:rsid w:val="00614EE6"/>
    <w:rsid w:val="00642503"/>
    <w:rsid w:val="00656252"/>
    <w:rsid w:val="00671F41"/>
    <w:rsid w:val="006C1489"/>
    <w:rsid w:val="006F52AA"/>
    <w:rsid w:val="00701225"/>
    <w:rsid w:val="0070671F"/>
    <w:rsid w:val="007069B0"/>
    <w:rsid w:val="00792DE3"/>
    <w:rsid w:val="00792ED6"/>
    <w:rsid w:val="007C3B20"/>
    <w:rsid w:val="0081709F"/>
    <w:rsid w:val="00830CBA"/>
    <w:rsid w:val="008558F7"/>
    <w:rsid w:val="008C7460"/>
    <w:rsid w:val="009161CD"/>
    <w:rsid w:val="00971885"/>
    <w:rsid w:val="009810FC"/>
    <w:rsid w:val="009D1862"/>
    <w:rsid w:val="009D343D"/>
    <w:rsid w:val="00A06245"/>
    <w:rsid w:val="00A5099E"/>
    <w:rsid w:val="00A57D6A"/>
    <w:rsid w:val="00AF5C1F"/>
    <w:rsid w:val="00B009A0"/>
    <w:rsid w:val="00B8779E"/>
    <w:rsid w:val="00BF5D9B"/>
    <w:rsid w:val="00C11223"/>
    <w:rsid w:val="00C23E07"/>
    <w:rsid w:val="00C37553"/>
    <w:rsid w:val="00C41504"/>
    <w:rsid w:val="00C625CD"/>
    <w:rsid w:val="00C705FE"/>
    <w:rsid w:val="00C93DD2"/>
    <w:rsid w:val="00CA6A17"/>
    <w:rsid w:val="00CD1C95"/>
    <w:rsid w:val="00D25DB9"/>
    <w:rsid w:val="00D5614D"/>
    <w:rsid w:val="00D63EC3"/>
    <w:rsid w:val="00D86139"/>
    <w:rsid w:val="00DA599F"/>
    <w:rsid w:val="00DB572F"/>
    <w:rsid w:val="00DE3A7E"/>
    <w:rsid w:val="00E7773A"/>
    <w:rsid w:val="00E82640"/>
    <w:rsid w:val="00E9762F"/>
    <w:rsid w:val="00EA022E"/>
    <w:rsid w:val="00EB0FCA"/>
    <w:rsid w:val="00EC4A1B"/>
    <w:rsid w:val="00EC70F4"/>
    <w:rsid w:val="00EF5892"/>
    <w:rsid w:val="00F24C54"/>
    <w:rsid w:val="00F26BD3"/>
    <w:rsid w:val="00F274AD"/>
    <w:rsid w:val="00F47527"/>
    <w:rsid w:val="00FA4DC2"/>
    <w:rsid w:val="043568A1"/>
    <w:rsid w:val="344830A0"/>
    <w:rsid w:val="358705B4"/>
    <w:rsid w:val="3A617B60"/>
    <w:rsid w:val="48801975"/>
    <w:rsid w:val="4BEE11F5"/>
    <w:rsid w:val="5F5316C3"/>
    <w:rsid w:val="63C528D2"/>
    <w:rsid w:val="66B477F6"/>
    <w:rsid w:val="698260EF"/>
    <w:rsid w:val="741D0C07"/>
    <w:rsid w:val="76BE61D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7"/>
    <w:semiHidden/>
    <w:unhideWhenUsed/>
    <w:qFormat/>
    <w:uiPriority w:val="99"/>
    <w:pPr>
      <w:ind w:left="100" w:leftChars="2500"/>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日期 Char"/>
    <w:basedOn w:val="6"/>
    <w:link w:val="2"/>
    <w:semiHidden/>
    <w:qFormat/>
    <w:uiPriority w:val="99"/>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paragraph" w:customStyle="1" w:styleId="10">
    <w:name w:val="p0"/>
    <w:basedOn w:val="1"/>
    <w:qFormat/>
    <w:uiPriority w:val="99"/>
    <w:pPr>
      <w:widowControl/>
      <w:autoSpaceDE w:val="0"/>
      <w:autoSpaceDN w:val="0"/>
      <w:jc w:val="left"/>
    </w:pPr>
    <w:rPr>
      <w:rFonts w:ascii="Times New Roman" w:hAnsi="Times New Roman" w:eastAsia="宋体" w:cs="Times New Roman"/>
      <w:kern w:val="0"/>
      <w:sz w:val="20"/>
      <w:szCs w:val="20"/>
    </w:rPr>
  </w:style>
  <w:style w:type="paragraph" w:styleId="1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DD1F2-C1EF-4430-8C23-54A5F8A489B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295</Words>
  <Characters>1687</Characters>
  <Lines>14</Lines>
  <Paragraphs>3</Paragraphs>
  <TotalTime>1</TotalTime>
  <ScaleCrop>false</ScaleCrop>
  <LinksUpToDate>false</LinksUpToDate>
  <CharactersWithSpaces>1979</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2026-04-17T04:26:00Z</dcterms:created>
  <dc:creator>user</dc:creator>
  <cp:lastModifiedBy>user</cp:lastModifiedBy>
  <cp:lastPrinted>2022-02-14T08:43:00Z</cp:lastPrinted>
  <dcterms:modified xsi:type="dcterms:W3CDTF">2026-04-17T09:07:01Z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702CEE8268C14D32A52257EFC2099DCC</vt:lpwstr>
  </property>
  <property fmtid="{D5CDD505-2E9C-101B-9397-08002B2CF9AE}" pid="4" name="KSOSaveFontToCloudKey">
    <vt:lpwstr>727276832_btnclosed</vt:lpwstr>
  </property>
</Properties>
</file>