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D50E9">
      <w:pPr>
        <w:snapToGrid w:val="0"/>
        <w:spacing w:line="580" w:lineRule="exact"/>
        <w:jc w:val="center"/>
        <w:rPr>
          <w:rFonts w:hint="eastAsia" w:asciiTheme="majorEastAsia" w:hAnsiTheme="majorEastAsia" w:eastAsiaTheme="majorEastAsia" w:cstheme="majorEastAsia"/>
          <w:b/>
          <w:bCs/>
          <w:color w:val="000000"/>
          <w:sz w:val="44"/>
          <w:szCs w:val="44"/>
          <w:lang w:eastAsia="zh-Hans"/>
        </w:rPr>
      </w:pPr>
      <w:r>
        <w:rPr>
          <w:rFonts w:hint="eastAsia" w:asciiTheme="majorEastAsia" w:hAnsiTheme="majorEastAsia" w:eastAsiaTheme="majorEastAsia" w:cstheme="majorEastAsia"/>
          <w:b/>
          <w:bCs/>
          <w:color w:val="000000"/>
          <w:sz w:val="44"/>
          <w:szCs w:val="44"/>
        </w:rPr>
        <w:t>202</w:t>
      </w:r>
      <w:r>
        <w:rPr>
          <w:rFonts w:hint="eastAsia" w:asciiTheme="majorEastAsia" w:hAnsiTheme="majorEastAsia" w:eastAsiaTheme="majorEastAsia" w:cstheme="majorEastAsia"/>
          <w:b/>
          <w:bCs/>
          <w:color w:val="000000"/>
          <w:sz w:val="44"/>
          <w:szCs w:val="44"/>
          <w:lang w:val="en-US" w:eastAsia="zh-CN"/>
        </w:rPr>
        <w:t>6</w:t>
      </w:r>
      <w:r>
        <w:rPr>
          <w:rFonts w:hint="eastAsia" w:asciiTheme="majorEastAsia" w:hAnsiTheme="majorEastAsia" w:eastAsiaTheme="majorEastAsia" w:cstheme="majorEastAsia"/>
          <w:b/>
          <w:bCs/>
          <w:color w:val="000000"/>
          <w:sz w:val="44"/>
          <w:szCs w:val="44"/>
        </w:rPr>
        <w:t>年</w:t>
      </w:r>
      <w:r>
        <w:rPr>
          <w:rFonts w:hint="eastAsia" w:asciiTheme="majorEastAsia" w:hAnsiTheme="majorEastAsia" w:eastAsiaTheme="majorEastAsia" w:cstheme="majorEastAsia"/>
          <w:b/>
          <w:bCs/>
          <w:color w:val="000000"/>
          <w:sz w:val="44"/>
          <w:szCs w:val="44"/>
          <w:lang w:val="en-US" w:eastAsia="zh-Hans"/>
        </w:rPr>
        <w:t>南通市</w:t>
      </w:r>
      <w:r>
        <w:rPr>
          <w:rFonts w:hint="eastAsia" w:asciiTheme="majorEastAsia" w:hAnsiTheme="majorEastAsia" w:eastAsiaTheme="majorEastAsia" w:cstheme="majorEastAsia"/>
          <w:b/>
          <w:bCs/>
          <w:color w:val="000000"/>
          <w:sz w:val="44"/>
          <w:szCs w:val="44"/>
          <w:lang w:val="en-US" w:eastAsia="zh-CN"/>
        </w:rPr>
        <w:t>按摩器具（含足浴盆）</w:t>
      </w:r>
      <w:r>
        <w:rPr>
          <w:rFonts w:hint="eastAsia" w:asciiTheme="majorEastAsia" w:hAnsiTheme="majorEastAsia" w:eastAsiaTheme="majorEastAsia" w:cstheme="majorEastAsia"/>
          <w:b/>
          <w:bCs/>
          <w:color w:val="000000"/>
          <w:sz w:val="44"/>
          <w:szCs w:val="44"/>
          <w:lang w:eastAsia="zh-Hans"/>
        </w:rPr>
        <w:t>产品质量</w:t>
      </w:r>
      <w:r>
        <w:rPr>
          <w:rFonts w:hint="eastAsia" w:asciiTheme="majorEastAsia" w:hAnsiTheme="majorEastAsia" w:eastAsiaTheme="majorEastAsia" w:cstheme="majorEastAsia"/>
          <w:b/>
          <w:bCs/>
          <w:color w:val="000000"/>
          <w:sz w:val="44"/>
          <w:szCs w:val="44"/>
          <w:lang w:eastAsia="zh-CN"/>
        </w:rPr>
        <w:t>监</w:t>
      </w:r>
      <w:r>
        <w:rPr>
          <w:rFonts w:hint="eastAsia" w:asciiTheme="majorEastAsia" w:hAnsiTheme="majorEastAsia" w:eastAsiaTheme="majorEastAsia" w:cstheme="majorEastAsia"/>
          <w:b/>
          <w:bCs/>
          <w:color w:val="000000"/>
          <w:sz w:val="44"/>
          <w:szCs w:val="44"/>
          <w:lang w:eastAsia="zh-Hans"/>
        </w:rPr>
        <w:t>督抽查实施细则</w:t>
      </w:r>
    </w:p>
    <w:p w14:paraId="28A2C19D">
      <w:pPr>
        <w:pStyle w:val="6"/>
        <w:rPr>
          <w:rFonts w:hint="eastAsia"/>
        </w:rPr>
      </w:pPr>
    </w:p>
    <w:p w14:paraId="7478215D">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bidi="ar"/>
        </w:rPr>
        <w:t>范围</w:t>
      </w:r>
    </w:p>
    <w:p w14:paraId="680ADBA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宋体" w:hAnsi="宋体" w:eastAsia="宋体" w:cs="宋体"/>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按摩器具（含足浴盆）</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75F613BC">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2.抽样方法</w:t>
      </w:r>
    </w:p>
    <w:p w14:paraId="08E5D25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6AC6B3E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在待销产品中随机抽取，索取发票等购样凭</w:t>
      </w:r>
      <w:r>
        <w:rPr>
          <w:rFonts w:hint="eastAsia" w:ascii="方正仿宋_GBK" w:hAnsi="方正仿宋_GBK" w:eastAsia="方正仿宋_GBK" w:cs="方正仿宋_GBK"/>
          <w:sz w:val="32"/>
          <w:szCs w:val="32"/>
          <w:highlight w:val="none"/>
        </w:rPr>
        <w:t>据留证。</w:t>
      </w:r>
      <w:r>
        <w:rPr>
          <w:rFonts w:hint="eastAsia" w:ascii="方正仿宋_GBK" w:hAnsi="方正仿宋_GBK" w:eastAsia="方正仿宋_GBK" w:cs="方正仿宋_GBK"/>
          <w:sz w:val="32"/>
          <w:szCs w:val="32"/>
          <w:highlight w:val="none"/>
          <w:lang w:val="en-US" w:eastAsia="zh-Hans"/>
        </w:rPr>
        <w:t>按摩器具（含足浴盆）产品</w:t>
      </w:r>
      <w:r>
        <w:rPr>
          <w:rFonts w:hint="eastAsia" w:ascii="方正仿宋_GBK" w:hAnsi="方正仿宋_GBK" w:eastAsia="方正仿宋_GBK" w:cs="方正仿宋_GBK"/>
          <w:sz w:val="32"/>
          <w:szCs w:val="32"/>
          <w:highlight w:val="none"/>
        </w:rPr>
        <w:t>抽样数量为2台（套），其</w:t>
      </w:r>
      <w:r>
        <w:rPr>
          <w:rFonts w:hint="eastAsia" w:ascii="方正仿宋_GBK" w:hAnsi="方正仿宋_GBK" w:eastAsia="方正仿宋_GBK" w:cs="方正仿宋_GBK"/>
          <w:sz w:val="32"/>
          <w:szCs w:val="32"/>
        </w:rPr>
        <w:t>中1台（套）作为检验样品，1台（套）作为备用样品，抽样基数满足抽样数量即可。采样过程均需拍照留证。一经采样，立即封样，任何人不得调换。</w:t>
      </w:r>
      <w:bookmarkStart w:id="0" w:name="_GoBack"/>
      <w:bookmarkEnd w:id="0"/>
    </w:p>
    <w:p w14:paraId="333A9407">
      <w:pPr>
        <w:numPr>
          <w:ilvl w:val="0"/>
          <w:numId w:val="0"/>
        </w:numPr>
        <w:overflowPunct w:val="0"/>
        <w:autoSpaceDE w:val="0"/>
        <w:autoSpaceDN w:val="0"/>
        <w:adjustRightInd w:val="0"/>
        <w:snapToGrid w:val="0"/>
        <w:spacing w:line="580" w:lineRule="exact"/>
        <w:ind w:left="640" w:leftChars="0"/>
        <w:rPr>
          <w:rFonts w:hint="eastAsia" w:ascii="方正黑体_GBK" w:hAnsi="方正仿宋_GBK" w:eastAsia="方正黑体_GBK" w:cs="方正仿宋_GBK"/>
          <w:kern w:val="0"/>
          <w:sz w:val="32"/>
          <w:szCs w:val="32"/>
          <w:highlight w:val="none"/>
          <w:shd w:val="clear" w:color="auto" w:fill="FFFFFF"/>
          <w:lang w:bidi="ar"/>
        </w:rPr>
      </w:pPr>
      <w:r>
        <w:rPr>
          <w:rFonts w:hint="eastAsia" w:ascii="方正黑体_GBK" w:hAnsi="方正仿宋_GBK" w:eastAsia="方正黑体_GBK" w:cs="方正仿宋_GBK"/>
          <w:kern w:val="0"/>
          <w:sz w:val="32"/>
          <w:szCs w:val="32"/>
          <w:highlight w:val="none"/>
          <w:shd w:val="clear"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bidi="ar"/>
        </w:rPr>
        <w:t>检验依据</w:t>
      </w:r>
    </w:p>
    <w:p w14:paraId="3D54601A">
      <w:pPr>
        <w:pStyle w:val="6"/>
        <w:jc w:val="center"/>
        <w:rPr>
          <w:rFonts w:hint="eastAsia"/>
        </w:rPr>
      </w:pPr>
      <w:r>
        <w:rPr>
          <w:rFonts w:hint="eastAsia" w:ascii="宋体" w:hAnsi="宋体" w:eastAsia="宋体" w:cs="宋体"/>
          <w:color w:val="000000" w:themeColor="text1"/>
          <w:kern w:val="0"/>
          <w:sz w:val="32"/>
          <w:szCs w:val="32"/>
          <w:shd w:val="clear" w:color="auto" w:fill="FFFFFF"/>
          <w:lang w:bidi="ar"/>
          <w14:textFill>
            <w14:solidFill>
              <w14:schemeClr w14:val="tx1"/>
            </w14:solidFill>
          </w14:textFill>
        </w:rPr>
        <w:t>表1  检验项目</w:t>
      </w:r>
    </w:p>
    <w:tbl>
      <w:tblPr>
        <w:tblStyle w:val="11"/>
        <w:tblW w:w="84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1"/>
        <w:gridCol w:w="2281"/>
        <w:gridCol w:w="2560"/>
        <w:gridCol w:w="2736"/>
      </w:tblGrid>
      <w:tr w14:paraId="5DB5A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jc w:val="center"/>
        </w:trPr>
        <w:tc>
          <w:tcPr>
            <w:tcW w:w="881" w:type="dxa"/>
            <w:tcBorders>
              <w:top w:val="single" w:color="000000" w:sz="4" w:space="0"/>
              <w:left w:val="single" w:color="000000" w:sz="4" w:space="0"/>
              <w:bottom w:val="single" w:color="000000" w:sz="4" w:space="0"/>
              <w:right w:val="single" w:color="000000" w:sz="4" w:space="0"/>
            </w:tcBorders>
            <w:noWrap w:val="0"/>
            <w:vAlign w:val="center"/>
          </w:tcPr>
          <w:p w14:paraId="02010CD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序号</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7E0CF00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检验检测项目</w:t>
            </w:r>
          </w:p>
        </w:tc>
        <w:tc>
          <w:tcPr>
            <w:tcW w:w="2560" w:type="dxa"/>
            <w:tcBorders>
              <w:top w:val="single" w:color="000000" w:sz="4" w:space="0"/>
              <w:left w:val="single" w:color="000000" w:sz="4" w:space="0"/>
              <w:bottom w:val="single" w:color="000000" w:sz="4" w:space="0"/>
              <w:right w:val="single" w:color="000000" w:sz="4" w:space="0"/>
            </w:tcBorders>
            <w:noWrap w:val="0"/>
            <w:vAlign w:val="center"/>
          </w:tcPr>
          <w:p w14:paraId="7ED2C7A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检验检测依据</w:t>
            </w:r>
          </w:p>
        </w:tc>
        <w:tc>
          <w:tcPr>
            <w:tcW w:w="2736" w:type="dxa"/>
            <w:tcBorders>
              <w:top w:val="single" w:color="000000" w:sz="4" w:space="0"/>
              <w:left w:val="single" w:color="000000" w:sz="4" w:space="0"/>
              <w:bottom w:val="single" w:color="000000" w:sz="4" w:space="0"/>
              <w:right w:val="single" w:color="000000" w:sz="4" w:space="0"/>
            </w:tcBorders>
            <w:noWrap w:val="0"/>
            <w:vAlign w:val="center"/>
          </w:tcPr>
          <w:p w14:paraId="40E3692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检验检测方法</w:t>
            </w:r>
          </w:p>
        </w:tc>
      </w:tr>
      <w:tr w14:paraId="3ECCF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881" w:type="dxa"/>
            <w:tcBorders>
              <w:top w:val="single" w:color="000000" w:sz="4" w:space="0"/>
              <w:left w:val="single" w:color="000000" w:sz="4" w:space="0"/>
              <w:bottom w:val="single" w:color="000000" w:sz="4" w:space="0"/>
              <w:right w:val="single" w:color="000000" w:sz="4" w:space="0"/>
            </w:tcBorders>
            <w:noWrap/>
            <w:vAlign w:val="center"/>
          </w:tcPr>
          <w:p w14:paraId="1D6924C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4E61169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标志和说明</w:t>
            </w:r>
          </w:p>
        </w:tc>
        <w:tc>
          <w:tcPr>
            <w:tcW w:w="256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3A70F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GB4706.10-2008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4706.10-2024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17625.1-2012</w:t>
            </w:r>
          </w:p>
        </w:tc>
        <w:tc>
          <w:tcPr>
            <w:tcW w:w="2736" w:type="dxa"/>
            <w:vMerge w:val="restart"/>
            <w:tcBorders>
              <w:top w:val="single" w:color="000000" w:sz="4" w:space="0"/>
              <w:left w:val="single" w:color="000000" w:sz="4" w:space="0"/>
              <w:bottom w:val="single" w:color="000000" w:sz="4" w:space="0"/>
              <w:right w:val="single" w:color="000000" w:sz="4" w:space="0"/>
            </w:tcBorders>
            <w:noWrap w:val="0"/>
            <w:vAlign w:val="center"/>
          </w:tcPr>
          <w:p w14:paraId="7C1C3E7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GB4706.10-2008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4706.10-2024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17625.1-2012</w:t>
            </w:r>
          </w:p>
        </w:tc>
      </w:tr>
      <w:tr w14:paraId="16C8F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881" w:type="dxa"/>
            <w:tcBorders>
              <w:top w:val="single" w:color="000000" w:sz="4" w:space="0"/>
              <w:left w:val="single" w:color="000000" w:sz="4" w:space="0"/>
              <w:bottom w:val="single" w:color="000000" w:sz="4" w:space="0"/>
              <w:right w:val="single" w:color="000000" w:sz="4" w:space="0"/>
            </w:tcBorders>
            <w:noWrap/>
            <w:vAlign w:val="center"/>
          </w:tcPr>
          <w:p w14:paraId="2D24E1C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2</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68F5F98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对触及带电部件的防护</w:t>
            </w:r>
          </w:p>
        </w:tc>
        <w:tc>
          <w:tcPr>
            <w:tcW w:w="25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CD3CE7">
            <w:pPr>
              <w:jc w:val="center"/>
              <w:rPr>
                <w:rFonts w:hint="eastAsia" w:ascii="宋体" w:hAnsi="宋体" w:eastAsia="宋体" w:cs="宋体"/>
                <w:i w:val="0"/>
                <w:iCs w:val="0"/>
                <w:color w:val="auto"/>
                <w:sz w:val="21"/>
                <w:szCs w:val="21"/>
                <w:highlight w:val="none"/>
                <w:u w:val="none"/>
              </w:rPr>
            </w:pPr>
          </w:p>
        </w:tc>
        <w:tc>
          <w:tcPr>
            <w:tcW w:w="27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485159">
            <w:pPr>
              <w:jc w:val="center"/>
              <w:rPr>
                <w:rFonts w:hint="eastAsia" w:ascii="宋体" w:hAnsi="宋体" w:eastAsia="宋体" w:cs="宋体"/>
                <w:i w:val="0"/>
                <w:iCs w:val="0"/>
                <w:color w:val="auto"/>
                <w:sz w:val="21"/>
                <w:szCs w:val="21"/>
                <w:highlight w:val="none"/>
                <w:u w:val="none"/>
              </w:rPr>
            </w:pPr>
          </w:p>
        </w:tc>
      </w:tr>
      <w:tr w14:paraId="56F8F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881" w:type="dxa"/>
            <w:tcBorders>
              <w:top w:val="single" w:color="000000" w:sz="4" w:space="0"/>
              <w:left w:val="single" w:color="000000" w:sz="4" w:space="0"/>
              <w:bottom w:val="single" w:color="000000" w:sz="4" w:space="0"/>
              <w:right w:val="single" w:color="000000" w:sz="4" w:space="0"/>
            </w:tcBorders>
            <w:noWrap/>
            <w:vAlign w:val="center"/>
          </w:tcPr>
          <w:p w14:paraId="156403A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3</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312541F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输入功率和电流</w:t>
            </w:r>
          </w:p>
        </w:tc>
        <w:tc>
          <w:tcPr>
            <w:tcW w:w="25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445EA1">
            <w:pPr>
              <w:jc w:val="center"/>
              <w:rPr>
                <w:rFonts w:hint="eastAsia" w:ascii="宋体" w:hAnsi="宋体" w:eastAsia="宋体" w:cs="宋体"/>
                <w:i w:val="0"/>
                <w:iCs w:val="0"/>
                <w:color w:val="auto"/>
                <w:sz w:val="21"/>
                <w:szCs w:val="21"/>
                <w:highlight w:val="none"/>
                <w:u w:val="none"/>
              </w:rPr>
            </w:pPr>
          </w:p>
        </w:tc>
        <w:tc>
          <w:tcPr>
            <w:tcW w:w="27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EBBC9D">
            <w:pPr>
              <w:jc w:val="center"/>
              <w:rPr>
                <w:rFonts w:hint="eastAsia" w:ascii="宋体" w:hAnsi="宋体" w:eastAsia="宋体" w:cs="宋体"/>
                <w:i w:val="0"/>
                <w:iCs w:val="0"/>
                <w:color w:val="auto"/>
                <w:sz w:val="21"/>
                <w:szCs w:val="21"/>
                <w:highlight w:val="none"/>
                <w:u w:val="none"/>
              </w:rPr>
            </w:pPr>
          </w:p>
        </w:tc>
      </w:tr>
      <w:tr w14:paraId="600A0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881" w:type="dxa"/>
            <w:tcBorders>
              <w:top w:val="single" w:color="000000" w:sz="4" w:space="0"/>
              <w:left w:val="single" w:color="000000" w:sz="4" w:space="0"/>
              <w:bottom w:val="single" w:color="000000" w:sz="4" w:space="0"/>
              <w:right w:val="single" w:color="000000" w:sz="4" w:space="0"/>
            </w:tcBorders>
            <w:noWrap/>
            <w:vAlign w:val="center"/>
          </w:tcPr>
          <w:p w14:paraId="3F9920E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4</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38E8A8E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工作温度下的泄漏电流和电气强度</w:t>
            </w:r>
          </w:p>
        </w:tc>
        <w:tc>
          <w:tcPr>
            <w:tcW w:w="25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01C52C">
            <w:pPr>
              <w:jc w:val="center"/>
              <w:rPr>
                <w:rFonts w:hint="eastAsia" w:ascii="宋体" w:hAnsi="宋体" w:eastAsia="宋体" w:cs="宋体"/>
                <w:i w:val="0"/>
                <w:iCs w:val="0"/>
                <w:color w:val="auto"/>
                <w:sz w:val="21"/>
                <w:szCs w:val="21"/>
                <w:highlight w:val="none"/>
                <w:u w:val="none"/>
              </w:rPr>
            </w:pPr>
          </w:p>
        </w:tc>
        <w:tc>
          <w:tcPr>
            <w:tcW w:w="27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2F29E1">
            <w:pPr>
              <w:jc w:val="center"/>
              <w:rPr>
                <w:rFonts w:hint="eastAsia" w:ascii="宋体" w:hAnsi="宋体" w:eastAsia="宋体" w:cs="宋体"/>
                <w:i w:val="0"/>
                <w:iCs w:val="0"/>
                <w:color w:val="auto"/>
                <w:sz w:val="21"/>
                <w:szCs w:val="21"/>
                <w:highlight w:val="none"/>
                <w:u w:val="none"/>
              </w:rPr>
            </w:pPr>
          </w:p>
        </w:tc>
      </w:tr>
      <w:tr w14:paraId="4D4E0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881" w:type="dxa"/>
            <w:tcBorders>
              <w:top w:val="single" w:color="000000" w:sz="4" w:space="0"/>
              <w:left w:val="single" w:color="000000" w:sz="4" w:space="0"/>
              <w:bottom w:val="single" w:color="000000" w:sz="4" w:space="0"/>
              <w:right w:val="single" w:color="000000" w:sz="4" w:space="0"/>
            </w:tcBorders>
            <w:noWrap/>
            <w:vAlign w:val="center"/>
          </w:tcPr>
          <w:p w14:paraId="3368636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5</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042E5EF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稳定性和机械危险</w:t>
            </w:r>
          </w:p>
        </w:tc>
        <w:tc>
          <w:tcPr>
            <w:tcW w:w="25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579821">
            <w:pPr>
              <w:jc w:val="center"/>
              <w:rPr>
                <w:rFonts w:hint="eastAsia" w:ascii="宋体" w:hAnsi="宋体" w:eastAsia="宋体" w:cs="宋体"/>
                <w:i w:val="0"/>
                <w:iCs w:val="0"/>
                <w:color w:val="auto"/>
                <w:sz w:val="21"/>
                <w:szCs w:val="21"/>
                <w:highlight w:val="none"/>
                <w:u w:val="none"/>
              </w:rPr>
            </w:pPr>
          </w:p>
        </w:tc>
        <w:tc>
          <w:tcPr>
            <w:tcW w:w="27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9586E5">
            <w:pPr>
              <w:jc w:val="center"/>
              <w:rPr>
                <w:rFonts w:hint="eastAsia" w:ascii="宋体" w:hAnsi="宋体" w:eastAsia="宋体" w:cs="宋体"/>
                <w:i w:val="0"/>
                <w:iCs w:val="0"/>
                <w:color w:val="auto"/>
                <w:sz w:val="21"/>
                <w:szCs w:val="21"/>
                <w:highlight w:val="none"/>
                <w:u w:val="none"/>
              </w:rPr>
            </w:pPr>
          </w:p>
        </w:tc>
      </w:tr>
      <w:tr w14:paraId="48F3E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881" w:type="dxa"/>
            <w:tcBorders>
              <w:top w:val="single" w:color="000000" w:sz="4" w:space="0"/>
              <w:left w:val="single" w:color="000000" w:sz="4" w:space="0"/>
              <w:bottom w:val="single" w:color="000000" w:sz="4" w:space="0"/>
              <w:right w:val="single" w:color="000000" w:sz="4" w:space="0"/>
            </w:tcBorders>
            <w:noWrap/>
            <w:vAlign w:val="center"/>
          </w:tcPr>
          <w:p w14:paraId="5128B22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6</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61AE3CB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机械强度</w:t>
            </w:r>
          </w:p>
        </w:tc>
        <w:tc>
          <w:tcPr>
            <w:tcW w:w="25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4E33F8">
            <w:pPr>
              <w:jc w:val="center"/>
              <w:rPr>
                <w:rFonts w:hint="eastAsia" w:ascii="宋体" w:hAnsi="宋体" w:eastAsia="宋体" w:cs="宋体"/>
                <w:i w:val="0"/>
                <w:iCs w:val="0"/>
                <w:color w:val="auto"/>
                <w:sz w:val="21"/>
                <w:szCs w:val="21"/>
                <w:highlight w:val="none"/>
                <w:u w:val="none"/>
              </w:rPr>
            </w:pPr>
          </w:p>
        </w:tc>
        <w:tc>
          <w:tcPr>
            <w:tcW w:w="27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3EABC1">
            <w:pPr>
              <w:jc w:val="center"/>
              <w:rPr>
                <w:rFonts w:hint="eastAsia" w:ascii="宋体" w:hAnsi="宋体" w:eastAsia="宋体" w:cs="宋体"/>
                <w:i w:val="0"/>
                <w:iCs w:val="0"/>
                <w:color w:val="auto"/>
                <w:sz w:val="21"/>
                <w:szCs w:val="21"/>
                <w:highlight w:val="none"/>
                <w:u w:val="none"/>
              </w:rPr>
            </w:pPr>
          </w:p>
        </w:tc>
      </w:tr>
      <w:tr w14:paraId="7ECED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7" w:hRule="atLeast"/>
          <w:jc w:val="center"/>
        </w:trPr>
        <w:tc>
          <w:tcPr>
            <w:tcW w:w="881" w:type="dxa"/>
            <w:tcBorders>
              <w:top w:val="single" w:color="000000" w:sz="4" w:space="0"/>
              <w:left w:val="single" w:color="000000" w:sz="4" w:space="0"/>
              <w:bottom w:val="single" w:color="000000" w:sz="4" w:space="0"/>
              <w:right w:val="single" w:color="000000" w:sz="4" w:space="0"/>
            </w:tcBorders>
            <w:noWrap/>
            <w:vAlign w:val="center"/>
          </w:tcPr>
          <w:p w14:paraId="3E1E5EC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7</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769E389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结构（不包括第 22.46、22.32、和22.3 条的试验）</w:t>
            </w:r>
          </w:p>
        </w:tc>
        <w:tc>
          <w:tcPr>
            <w:tcW w:w="25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B6B9D3">
            <w:pPr>
              <w:jc w:val="center"/>
              <w:rPr>
                <w:rFonts w:hint="eastAsia" w:ascii="宋体" w:hAnsi="宋体" w:eastAsia="宋体" w:cs="宋体"/>
                <w:i w:val="0"/>
                <w:iCs w:val="0"/>
                <w:color w:val="auto"/>
                <w:sz w:val="21"/>
                <w:szCs w:val="21"/>
                <w:highlight w:val="none"/>
                <w:u w:val="none"/>
              </w:rPr>
            </w:pPr>
          </w:p>
        </w:tc>
        <w:tc>
          <w:tcPr>
            <w:tcW w:w="27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253B49">
            <w:pPr>
              <w:jc w:val="center"/>
              <w:rPr>
                <w:rFonts w:hint="eastAsia" w:ascii="宋体" w:hAnsi="宋体" w:eastAsia="宋体" w:cs="宋体"/>
                <w:i w:val="0"/>
                <w:iCs w:val="0"/>
                <w:color w:val="auto"/>
                <w:sz w:val="21"/>
                <w:szCs w:val="21"/>
                <w:highlight w:val="none"/>
                <w:u w:val="none"/>
              </w:rPr>
            </w:pPr>
          </w:p>
        </w:tc>
      </w:tr>
      <w:tr w14:paraId="00019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881" w:type="dxa"/>
            <w:tcBorders>
              <w:top w:val="single" w:color="000000" w:sz="4" w:space="0"/>
              <w:left w:val="single" w:color="000000" w:sz="4" w:space="0"/>
              <w:bottom w:val="single" w:color="000000" w:sz="4" w:space="0"/>
              <w:right w:val="single" w:color="000000" w:sz="4" w:space="0"/>
            </w:tcBorders>
            <w:noWrap/>
            <w:vAlign w:val="center"/>
          </w:tcPr>
          <w:p w14:paraId="4ECCBEC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8</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5AE6B7C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内部布线</w:t>
            </w:r>
          </w:p>
        </w:tc>
        <w:tc>
          <w:tcPr>
            <w:tcW w:w="25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6D3645">
            <w:pPr>
              <w:jc w:val="center"/>
              <w:rPr>
                <w:rFonts w:hint="eastAsia" w:ascii="宋体" w:hAnsi="宋体" w:eastAsia="宋体" w:cs="宋体"/>
                <w:i w:val="0"/>
                <w:iCs w:val="0"/>
                <w:color w:val="auto"/>
                <w:sz w:val="21"/>
                <w:szCs w:val="21"/>
                <w:highlight w:val="none"/>
                <w:u w:val="none"/>
              </w:rPr>
            </w:pPr>
          </w:p>
        </w:tc>
        <w:tc>
          <w:tcPr>
            <w:tcW w:w="27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B88FF3">
            <w:pPr>
              <w:jc w:val="center"/>
              <w:rPr>
                <w:rFonts w:hint="eastAsia" w:ascii="宋体" w:hAnsi="宋体" w:eastAsia="宋体" w:cs="宋体"/>
                <w:i w:val="0"/>
                <w:iCs w:val="0"/>
                <w:color w:val="auto"/>
                <w:sz w:val="21"/>
                <w:szCs w:val="21"/>
                <w:highlight w:val="none"/>
                <w:u w:val="none"/>
              </w:rPr>
            </w:pPr>
          </w:p>
        </w:tc>
      </w:tr>
      <w:tr w14:paraId="12401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881" w:type="dxa"/>
            <w:tcBorders>
              <w:top w:val="single" w:color="000000" w:sz="4" w:space="0"/>
              <w:left w:val="single" w:color="000000" w:sz="4" w:space="0"/>
              <w:bottom w:val="single" w:color="000000" w:sz="4" w:space="0"/>
              <w:right w:val="single" w:color="000000" w:sz="4" w:space="0"/>
            </w:tcBorders>
            <w:noWrap/>
            <w:vAlign w:val="center"/>
          </w:tcPr>
          <w:p w14:paraId="40E4C14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9</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16EBCD9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电源连接和外部软线</w:t>
            </w:r>
          </w:p>
        </w:tc>
        <w:tc>
          <w:tcPr>
            <w:tcW w:w="25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647164">
            <w:pPr>
              <w:jc w:val="center"/>
              <w:rPr>
                <w:rFonts w:hint="eastAsia" w:ascii="宋体" w:hAnsi="宋体" w:eastAsia="宋体" w:cs="宋体"/>
                <w:i w:val="0"/>
                <w:iCs w:val="0"/>
                <w:color w:val="auto"/>
                <w:sz w:val="21"/>
                <w:szCs w:val="21"/>
                <w:highlight w:val="none"/>
                <w:u w:val="none"/>
              </w:rPr>
            </w:pPr>
          </w:p>
        </w:tc>
        <w:tc>
          <w:tcPr>
            <w:tcW w:w="27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7EDD8C">
            <w:pPr>
              <w:jc w:val="center"/>
              <w:rPr>
                <w:rFonts w:hint="eastAsia" w:ascii="宋体" w:hAnsi="宋体" w:eastAsia="宋体" w:cs="宋体"/>
                <w:i w:val="0"/>
                <w:iCs w:val="0"/>
                <w:color w:val="auto"/>
                <w:sz w:val="21"/>
                <w:szCs w:val="21"/>
                <w:highlight w:val="none"/>
                <w:u w:val="none"/>
              </w:rPr>
            </w:pPr>
          </w:p>
        </w:tc>
      </w:tr>
      <w:tr w14:paraId="5122E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881" w:type="dxa"/>
            <w:tcBorders>
              <w:top w:val="single" w:color="000000" w:sz="4" w:space="0"/>
              <w:left w:val="single" w:color="000000" w:sz="4" w:space="0"/>
              <w:bottom w:val="single" w:color="000000" w:sz="4" w:space="0"/>
              <w:right w:val="single" w:color="000000" w:sz="4" w:space="0"/>
            </w:tcBorders>
            <w:noWrap/>
            <w:vAlign w:val="center"/>
          </w:tcPr>
          <w:p w14:paraId="6AEB68B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10</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1ECF7E4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外部导线用接线端子</w:t>
            </w:r>
          </w:p>
        </w:tc>
        <w:tc>
          <w:tcPr>
            <w:tcW w:w="25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B25229">
            <w:pPr>
              <w:jc w:val="center"/>
              <w:rPr>
                <w:rFonts w:hint="eastAsia" w:ascii="宋体" w:hAnsi="宋体" w:eastAsia="宋体" w:cs="宋体"/>
                <w:i w:val="0"/>
                <w:iCs w:val="0"/>
                <w:color w:val="auto"/>
                <w:sz w:val="21"/>
                <w:szCs w:val="21"/>
                <w:highlight w:val="none"/>
                <w:u w:val="none"/>
              </w:rPr>
            </w:pPr>
          </w:p>
        </w:tc>
        <w:tc>
          <w:tcPr>
            <w:tcW w:w="27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092278">
            <w:pPr>
              <w:jc w:val="center"/>
              <w:rPr>
                <w:rFonts w:hint="eastAsia" w:ascii="宋体" w:hAnsi="宋体" w:eastAsia="宋体" w:cs="宋体"/>
                <w:i w:val="0"/>
                <w:iCs w:val="0"/>
                <w:color w:val="auto"/>
                <w:sz w:val="21"/>
                <w:szCs w:val="21"/>
                <w:highlight w:val="none"/>
                <w:u w:val="none"/>
              </w:rPr>
            </w:pPr>
          </w:p>
        </w:tc>
      </w:tr>
      <w:tr w14:paraId="124F1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881" w:type="dxa"/>
            <w:tcBorders>
              <w:top w:val="single" w:color="000000" w:sz="4" w:space="0"/>
              <w:left w:val="single" w:color="000000" w:sz="4" w:space="0"/>
              <w:bottom w:val="single" w:color="000000" w:sz="4" w:space="0"/>
              <w:right w:val="single" w:color="000000" w:sz="4" w:space="0"/>
            </w:tcBorders>
            <w:noWrap/>
            <w:vAlign w:val="center"/>
          </w:tcPr>
          <w:p w14:paraId="2451AE4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11</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0FF3AC4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接地措施</w:t>
            </w:r>
          </w:p>
        </w:tc>
        <w:tc>
          <w:tcPr>
            <w:tcW w:w="25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E1B6D4">
            <w:pPr>
              <w:jc w:val="center"/>
              <w:rPr>
                <w:rFonts w:hint="eastAsia" w:ascii="宋体" w:hAnsi="宋体" w:eastAsia="宋体" w:cs="宋体"/>
                <w:i w:val="0"/>
                <w:iCs w:val="0"/>
                <w:color w:val="auto"/>
                <w:sz w:val="21"/>
                <w:szCs w:val="21"/>
                <w:highlight w:val="none"/>
                <w:u w:val="none"/>
              </w:rPr>
            </w:pPr>
          </w:p>
        </w:tc>
        <w:tc>
          <w:tcPr>
            <w:tcW w:w="27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122FA2">
            <w:pPr>
              <w:jc w:val="center"/>
              <w:rPr>
                <w:rFonts w:hint="eastAsia" w:ascii="宋体" w:hAnsi="宋体" w:eastAsia="宋体" w:cs="宋体"/>
                <w:i w:val="0"/>
                <w:iCs w:val="0"/>
                <w:color w:val="auto"/>
                <w:sz w:val="21"/>
                <w:szCs w:val="21"/>
                <w:highlight w:val="none"/>
                <w:u w:val="none"/>
              </w:rPr>
            </w:pPr>
          </w:p>
        </w:tc>
      </w:tr>
      <w:tr w14:paraId="3E0E2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881" w:type="dxa"/>
            <w:tcBorders>
              <w:top w:val="single" w:color="000000" w:sz="4" w:space="0"/>
              <w:left w:val="single" w:color="000000" w:sz="4" w:space="0"/>
              <w:bottom w:val="single" w:color="000000" w:sz="4" w:space="0"/>
              <w:right w:val="single" w:color="000000" w:sz="4" w:space="0"/>
            </w:tcBorders>
            <w:noWrap/>
            <w:vAlign w:val="center"/>
          </w:tcPr>
          <w:p w14:paraId="0FDD017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12</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47F9738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螺钉和连接</w:t>
            </w:r>
          </w:p>
        </w:tc>
        <w:tc>
          <w:tcPr>
            <w:tcW w:w="25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756CA9">
            <w:pPr>
              <w:jc w:val="center"/>
              <w:rPr>
                <w:rFonts w:hint="eastAsia" w:ascii="宋体" w:hAnsi="宋体" w:eastAsia="宋体" w:cs="宋体"/>
                <w:i w:val="0"/>
                <w:iCs w:val="0"/>
                <w:color w:val="auto"/>
                <w:sz w:val="21"/>
                <w:szCs w:val="21"/>
                <w:highlight w:val="none"/>
                <w:u w:val="none"/>
              </w:rPr>
            </w:pPr>
          </w:p>
        </w:tc>
        <w:tc>
          <w:tcPr>
            <w:tcW w:w="27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1EC11D">
            <w:pPr>
              <w:jc w:val="center"/>
              <w:rPr>
                <w:rFonts w:hint="eastAsia" w:ascii="宋体" w:hAnsi="宋体" w:eastAsia="宋体" w:cs="宋体"/>
                <w:i w:val="0"/>
                <w:iCs w:val="0"/>
                <w:color w:val="auto"/>
                <w:sz w:val="21"/>
                <w:szCs w:val="21"/>
                <w:highlight w:val="none"/>
                <w:u w:val="none"/>
              </w:rPr>
            </w:pPr>
          </w:p>
        </w:tc>
      </w:tr>
      <w:tr w14:paraId="177C5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881" w:type="dxa"/>
            <w:tcBorders>
              <w:top w:val="single" w:color="000000" w:sz="4" w:space="0"/>
              <w:left w:val="single" w:color="000000" w:sz="4" w:space="0"/>
              <w:bottom w:val="single" w:color="000000" w:sz="4" w:space="0"/>
              <w:right w:val="single" w:color="000000" w:sz="4" w:space="0"/>
            </w:tcBorders>
            <w:noWrap/>
            <w:vAlign w:val="center"/>
          </w:tcPr>
          <w:p w14:paraId="6C119F4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13</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61242BA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电气间隙、爬电距离和固体绝缘</w:t>
            </w:r>
          </w:p>
        </w:tc>
        <w:tc>
          <w:tcPr>
            <w:tcW w:w="25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E83462">
            <w:pPr>
              <w:jc w:val="center"/>
              <w:rPr>
                <w:rFonts w:hint="eastAsia" w:ascii="宋体" w:hAnsi="宋体" w:eastAsia="宋体" w:cs="宋体"/>
                <w:i w:val="0"/>
                <w:iCs w:val="0"/>
                <w:color w:val="auto"/>
                <w:sz w:val="21"/>
                <w:szCs w:val="21"/>
                <w:highlight w:val="none"/>
                <w:u w:val="none"/>
              </w:rPr>
            </w:pPr>
          </w:p>
        </w:tc>
        <w:tc>
          <w:tcPr>
            <w:tcW w:w="27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3F7534">
            <w:pPr>
              <w:jc w:val="center"/>
              <w:rPr>
                <w:rFonts w:hint="eastAsia" w:ascii="宋体" w:hAnsi="宋体" w:eastAsia="宋体" w:cs="宋体"/>
                <w:i w:val="0"/>
                <w:iCs w:val="0"/>
                <w:color w:val="auto"/>
                <w:sz w:val="21"/>
                <w:szCs w:val="21"/>
                <w:highlight w:val="none"/>
                <w:u w:val="none"/>
              </w:rPr>
            </w:pPr>
          </w:p>
        </w:tc>
      </w:tr>
      <w:tr w14:paraId="1CCA6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881" w:type="dxa"/>
            <w:tcBorders>
              <w:top w:val="single" w:color="000000" w:sz="4" w:space="0"/>
              <w:left w:val="single" w:color="000000" w:sz="4" w:space="0"/>
              <w:bottom w:val="single" w:color="000000" w:sz="4" w:space="0"/>
              <w:right w:val="single" w:color="000000" w:sz="4" w:space="0"/>
            </w:tcBorders>
            <w:noWrap/>
            <w:vAlign w:val="center"/>
          </w:tcPr>
          <w:p w14:paraId="7003A0C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14</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26B021A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端子骚扰电压</w:t>
            </w:r>
          </w:p>
        </w:tc>
        <w:tc>
          <w:tcPr>
            <w:tcW w:w="25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A75520">
            <w:pPr>
              <w:jc w:val="center"/>
              <w:rPr>
                <w:rFonts w:hint="eastAsia" w:ascii="宋体" w:hAnsi="宋体" w:eastAsia="宋体" w:cs="宋体"/>
                <w:i w:val="0"/>
                <w:iCs w:val="0"/>
                <w:color w:val="auto"/>
                <w:sz w:val="21"/>
                <w:szCs w:val="21"/>
                <w:highlight w:val="none"/>
                <w:u w:val="none"/>
              </w:rPr>
            </w:pPr>
          </w:p>
        </w:tc>
        <w:tc>
          <w:tcPr>
            <w:tcW w:w="27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50729A">
            <w:pPr>
              <w:jc w:val="center"/>
              <w:rPr>
                <w:rFonts w:hint="eastAsia" w:ascii="宋体" w:hAnsi="宋体" w:eastAsia="宋体" w:cs="宋体"/>
                <w:i w:val="0"/>
                <w:iCs w:val="0"/>
                <w:color w:val="auto"/>
                <w:sz w:val="21"/>
                <w:szCs w:val="21"/>
                <w:highlight w:val="none"/>
                <w:u w:val="none"/>
              </w:rPr>
            </w:pPr>
          </w:p>
        </w:tc>
      </w:tr>
      <w:tr w14:paraId="0E7B4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881" w:type="dxa"/>
            <w:tcBorders>
              <w:top w:val="single" w:color="000000" w:sz="4" w:space="0"/>
              <w:left w:val="single" w:color="000000" w:sz="4" w:space="0"/>
              <w:bottom w:val="single" w:color="000000" w:sz="4" w:space="0"/>
              <w:right w:val="single" w:color="000000" w:sz="4" w:space="0"/>
            </w:tcBorders>
            <w:noWrap/>
            <w:vAlign w:val="center"/>
          </w:tcPr>
          <w:p w14:paraId="4973D16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15</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7BA3B20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骚扰功率</w:t>
            </w:r>
          </w:p>
        </w:tc>
        <w:tc>
          <w:tcPr>
            <w:tcW w:w="25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4470EE">
            <w:pPr>
              <w:jc w:val="center"/>
              <w:rPr>
                <w:rFonts w:hint="eastAsia" w:ascii="宋体" w:hAnsi="宋体" w:eastAsia="宋体" w:cs="宋体"/>
                <w:i w:val="0"/>
                <w:iCs w:val="0"/>
                <w:color w:val="auto"/>
                <w:sz w:val="21"/>
                <w:szCs w:val="21"/>
                <w:highlight w:val="none"/>
                <w:u w:val="none"/>
              </w:rPr>
            </w:pPr>
          </w:p>
        </w:tc>
        <w:tc>
          <w:tcPr>
            <w:tcW w:w="27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364991">
            <w:pPr>
              <w:jc w:val="center"/>
              <w:rPr>
                <w:rFonts w:hint="eastAsia" w:ascii="宋体" w:hAnsi="宋体" w:eastAsia="宋体" w:cs="宋体"/>
                <w:i w:val="0"/>
                <w:iCs w:val="0"/>
                <w:color w:val="auto"/>
                <w:sz w:val="21"/>
                <w:szCs w:val="21"/>
                <w:highlight w:val="none"/>
                <w:u w:val="none"/>
              </w:rPr>
            </w:pPr>
          </w:p>
        </w:tc>
      </w:tr>
      <w:tr w14:paraId="6D260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881" w:type="dxa"/>
            <w:tcBorders>
              <w:top w:val="single" w:color="000000" w:sz="4" w:space="0"/>
              <w:left w:val="single" w:color="000000" w:sz="4" w:space="0"/>
              <w:bottom w:val="single" w:color="000000" w:sz="4" w:space="0"/>
              <w:right w:val="single" w:color="000000" w:sz="4" w:space="0"/>
            </w:tcBorders>
            <w:noWrap/>
            <w:vAlign w:val="center"/>
          </w:tcPr>
          <w:p w14:paraId="70706B9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16</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77FD45F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断续骚扰</w:t>
            </w:r>
          </w:p>
        </w:tc>
        <w:tc>
          <w:tcPr>
            <w:tcW w:w="25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1FE60A">
            <w:pPr>
              <w:jc w:val="center"/>
              <w:rPr>
                <w:rFonts w:hint="eastAsia" w:ascii="宋体" w:hAnsi="宋体" w:eastAsia="宋体" w:cs="宋体"/>
                <w:i w:val="0"/>
                <w:iCs w:val="0"/>
                <w:color w:val="auto"/>
                <w:sz w:val="21"/>
                <w:szCs w:val="21"/>
                <w:highlight w:val="none"/>
                <w:u w:val="none"/>
              </w:rPr>
            </w:pPr>
          </w:p>
        </w:tc>
        <w:tc>
          <w:tcPr>
            <w:tcW w:w="27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FE8B09">
            <w:pPr>
              <w:jc w:val="center"/>
              <w:rPr>
                <w:rFonts w:hint="eastAsia" w:ascii="宋体" w:hAnsi="宋体" w:eastAsia="宋体" w:cs="宋体"/>
                <w:i w:val="0"/>
                <w:iCs w:val="0"/>
                <w:color w:val="auto"/>
                <w:sz w:val="21"/>
                <w:szCs w:val="21"/>
                <w:highlight w:val="none"/>
                <w:u w:val="none"/>
              </w:rPr>
            </w:pPr>
          </w:p>
        </w:tc>
      </w:tr>
      <w:tr w14:paraId="41A3B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jc w:val="center"/>
        </w:trPr>
        <w:tc>
          <w:tcPr>
            <w:tcW w:w="881" w:type="dxa"/>
            <w:tcBorders>
              <w:top w:val="single" w:color="000000" w:sz="4" w:space="0"/>
              <w:left w:val="single" w:color="000000" w:sz="4" w:space="0"/>
              <w:bottom w:val="single" w:color="000000" w:sz="4" w:space="0"/>
              <w:right w:val="single" w:color="000000" w:sz="4" w:space="0"/>
            </w:tcBorders>
            <w:noWrap/>
            <w:vAlign w:val="center"/>
          </w:tcPr>
          <w:p w14:paraId="0297021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17</w:t>
            </w:r>
          </w:p>
        </w:tc>
        <w:tc>
          <w:tcPr>
            <w:tcW w:w="2281" w:type="dxa"/>
            <w:tcBorders>
              <w:top w:val="single" w:color="000000" w:sz="4" w:space="0"/>
              <w:left w:val="single" w:color="000000" w:sz="4" w:space="0"/>
              <w:bottom w:val="single" w:color="000000" w:sz="4" w:space="0"/>
              <w:right w:val="single" w:color="000000" w:sz="4" w:space="0"/>
            </w:tcBorders>
            <w:noWrap w:val="0"/>
            <w:vAlign w:val="center"/>
          </w:tcPr>
          <w:p w14:paraId="40CC116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谐波电流</w:t>
            </w:r>
          </w:p>
        </w:tc>
        <w:tc>
          <w:tcPr>
            <w:tcW w:w="25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9AE34A">
            <w:pPr>
              <w:jc w:val="center"/>
              <w:rPr>
                <w:rFonts w:hint="eastAsia" w:ascii="宋体" w:hAnsi="宋体" w:eastAsia="宋体" w:cs="宋体"/>
                <w:i w:val="0"/>
                <w:iCs w:val="0"/>
                <w:color w:val="auto"/>
                <w:sz w:val="21"/>
                <w:szCs w:val="21"/>
                <w:highlight w:val="none"/>
                <w:u w:val="none"/>
              </w:rPr>
            </w:pPr>
          </w:p>
        </w:tc>
        <w:tc>
          <w:tcPr>
            <w:tcW w:w="27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8ABA7D">
            <w:pPr>
              <w:jc w:val="center"/>
              <w:rPr>
                <w:rFonts w:hint="eastAsia" w:ascii="宋体" w:hAnsi="宋体" w:eastAsia="宋体" w:cs="宋体"/>
                <w:i w:val="0"/>
                <w:iCs w:val="0"/>
                <w:color w:val="auto"/>
                <w:sz w:val="21"/>
                <w:szCs w:val="21"/>
                <w:highlight w:val="none"/>
                <w:u w:val="none"/>
              </w:rPr>
            </w:pPr>
          </w:p>
        </w:tc>
      </w:tr>
    </w:tbl>
    <w:p w14:paraId="41BAF8BE">
      <w:pPr>
        <w:keepNext w:val="0"/>
        <w:keepLines w:val="0"/>
        <w:pageBreakBefore w:val="0"/>
        <w:widowControl w:val="0"/>
        <w:kinsoku/>
        <w:wordWrap/>
        <w:overflowPunct w:val="0"/>
        <w:topLinePunct w:val="0"/>
        <w:autoSpaceDE w:val="0"/>
        <w:autoSpaceDN w:val="0"/>
        <w:bidi w:val="0"/>
        <w:adjustRightInd w:val="0"/>
        <w:snapToGrid w:val="0"/>
        <w:spacing w:line="600" w:lineRule="exact"/>
        <w:ind w:right="0" w:rightChars="0" w:firstLine="320" w:firstLineChars="1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3F88247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19C5CE4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7AE1616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1921BEBE">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GB 4706.1-2005《家用和类似用途电器的安全 第1部分：通用要求》</w:t>
      </w:r>
      <w:r>
        <w:rPr>
          <w:rFonts w:hint="eastAsia" w:ascii="方正仿宋_GBK" w:hAnsi="方正仿宋_GBK" w:eastAsia="方正仿宋_GBK" w:cs="方正仿宋_GBK"/>
          <w:sz w:val="32"/>
          <w:szCs w:val="32"/>
          <w:lang w:val="en-US" w:eastAsia="zh-CN"/>
        </w:rPr>
        <w:t>；</w:t>
      </w:r>
    </w:p>
    <w:p w14:paraId="0ADC559A">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GB/T 4706.1-2024《家用和类似用途电器的安全第1部分：通用要求》；</w:t>
      </w:r>
    </w:p>
    <w:p w14:paraId="38E9627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lang w:val="en-US" w:eastAsia="zh-CN"/>
        </w:rPr>
      </w:pPr>
      <w:r>
        <w:rPr>
          <w:rFonts w:hint="eastAsia" w:ascii="方正仿宋_GBK" w:hAnsi="方正仿宋_GBK" w:eastAsia="方正仿宋_GBK" w:cs="方正仿宋_GBK"/>
          <w:sz w:val="32"/>
          <w:szCs w:val="32"/>
          <w:lang w:val="en-US" w:eastAsia="zh-CN"/>
        </w:rPr>
        <w:t>GB/T 4706.10-2024 《家用和类似用途电器的安全 第 10 部分：按摩器具的特殊要求》</w:t>
      </w:r>
    </w:p>
    <w:p w14:paraId="52CA709A">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GB 4706.10-2008《家用和类似用途电器的安全 按摩器具的特殊要求》；</w:t>
      </w:r>
    </w:p>
    <w:p w14:paraId="76748442">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GB 4343.1-2018《家用电器、电动工具和类似器具的电磁兼容要求 第1部分：发射》；</w:t>
      </w:r>
    </w:p>
    <w:p w14:paraId="14869FC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GB 4343.1-2024《家用电器、电动工具和类似器具的电磁兼容要求 第1部分：发射》；</w:t>
      </w:r>
    </w:p>
    <w:p w14:paraId="6FB63B4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w:t>
      </w:r>
      <w:r>
        <w:rPr>
          <w:rFonts w:hint="eastAsia" w:ascii="方正仿宋_GBK" w:hAnsi="方正仿宋_GBK" w:eastAsia="方正仿宋_GBK" w:cs="方正仿宋_GBK"/>
          <w:sz w:val="32"/>
          <w:szCs w:val="32"/>
          <w:lang w:val="en-US" w:eastAsia="zh-CN"/>
        </w:rPr>
        <w:t>22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电磁兼容 限值 第1部分：谐波电流发射限值（设备每相输入电流≤16A）</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p>
    <w:p w14:paraId="75D466A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方正仿宋_GBK"/>
          <w:lang w:val="en-US" w:eastAsia="zh-CN"/>
        </w:rPr>
      </w:pPr>
      <w:r>
        <w:rPr>
          <w:rFonts w:hint="eastAsia" w:ascii="方正仿宋_GBK" w:hAnsi="方正仿宋_GBK" w:eastAsia="方正仿宋_GBK" w:cs="方正仿宋_GBK"/>
          <w:sz w:val="32"/>
          <w:szCs w:val="32"/>
        </w:rPr>
        <w:t>GB 17625.1-2012 《电磁兼容 限值 谐波电流发射限值(设备每相输入电流≤16A)》</w:t>
      </w:r>
      <w:r>
        <w:rPr>
          <w:rFonts w:hint="eastAsia" w:ascii="方正仿宋_GBK" w:hAnsi="方正仿宋_GBK" w:eastAsia="方正仿宋_GBK" w:cs="方正仿宋_GBK"/>
          <w:sz w:val="32"/>
          <w:szCs w:val="32"/>
          <w:lang w:eastAsia="zh-CN"/>
        </w:rPr>
        <w:t>；</w:t>
      </w:r>
    </w:p>
    <w:p w14:paraId="2B18B9DB">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0C218E66">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4.2判定原则</w:t>
      </w:r>
    </w:p>
    <w:p w14:paraId="638AC31C">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p>
    <w:p w14:paraId="7C92BA02">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85667F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3E56F2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06724BCD">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1EA65DD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C425A71">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5.异议处理</w:t>
      </w:r>
    </w:p>
    <w:p w14:paraId="500765D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6E7562C8">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4F0329A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ascii="宋体" w:hAnsi="宋体" w:cs="宋体"/>
          <w:color w:val="000000" w:themeColor="text1"/>
          <w14:textFill>
            <w14:solidFill>
              <w14:schemeClr w14:val="tx1"/>
            </w14:solidFill>
          </w14:textFill>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embedRegular r:id="rId1" w:fontKey="{6C085456-9A61-4AB8-AFCF-A94E660A02F6}"/>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script"/>
    <w:pitch w:val="default"/>
    <w:sig w:usb0="A00002BF" w:usb1="38CF7CFA" w:usb2="00082016" w:usb3="00000000" w:csb0="00040001" w:csb1="00000000"/>
    <w:embedRegular r:id="rId2" w:fontKey="{C16D641C-3A70-41F2-8723-85C17FFE8426}"/>
  </w:font>
  <w:font w:name="KSOFEC83043A">
    <w:panose1 w:val="020B0503020204020204"/>
    <w:charset w:val="86"/>
    <w:family w:val="auto"/>
    <w:pitch w:val="default"/>
    <w:sig w:usb0="00000001" w:usb1="00000000" w:usb2="00000000" w:usb3="00000000" w:csb0="00040001" w:csb1="00000000"/>
  </w:font>
  <w:font w:name="WPSEMBED5">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88019">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D74CB">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BF828">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pStyle w:val="2"/>
      <w:lvlText w:val=""/>
      <w:lvlJc w:val="left"/>
      <w:pPr>
        <w:tabs>
          <w:tab w:val="left" w:pos="780"/>
        </w:tabs>
        <w:ind w:left="780" w:hanging="360"/>
      </w:pPr>
      <w:rPr>
        <w:rFonts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577A2"/>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3065425"/>
    <w:rsid w:val="031943E4"/>
    <w:rsid w:val="033A014E"/>
    <w:rsid w:val="057814FE"/>
    <w:rsid w:val="05D24EFE"/>
    <w:rsid w:val="06DE5BB2"/>
    <w:rsid w:val="07672914"/>
    <w:rsid w:val="077F7679"/>
    <w:rsid w:val="07BF3F65"/>
    <w:rsid w:val="07F50FE7"/>
    <w:rsid w:val="07FD5AEF"/>
    <w:rsid w:val="097537AA"/>
    <w:rsid w:val="0B270AD4"/>
    <w:rsid w:val="0CB8374E"/>
    <w:rsid w:val="0CFA1423"/>
    <w:rsid w:val="0E323572"/>
    <w:rsid w:val="0EE675B0"/>
    <w:rsid w:val="0F1C4CFF"/>
    <w:rsid w:val="0F8B7910"/>
    <w:rsid w:val="0FCF7CD7"/>
    <w:rsid w:val="0FDBD46C"/>
    <w:rsid w:val="0FDE2F82"/>
    <w:rsid w:val="0FE7E3B3"/>
    <w:rsid w:val="0FF1F824"/>
    <w:rsid w:val="114743EE"/>
    <w:rsid w:val="12495675"/>
    <w:rsid w:val="135FA0BA"/>
    <w:rsid w:val="157A1825"/>
    <w:rsid w:val="159F1815"/>
    <w:rsid w:val="15BFD474"/>
    <w:rsid w:val="169F9BF9"/>
    <w:rsid w:val="16B34B25"/>
    <w:rsid w:val="16E21CB9"/>
    <w:rsid w:val="16FB0492"/>
    <w:rsid w:val="17B79E71"/>
    <w:rsid w:val="17B7B7BA"/>
    <w:rsid w:val="17D51E8A"/>
    <w:rsid w:val="17EEF9D1"/>
    <w:rsid w:val="17FDD55A"/>
    <w:rsid w:val="18C14E5E"/>
    <w:rsid w:val="198E3CBB"/>
    <w:rsid w:val="19AF1F1B"/>
    <w:rsid w:val="1AF6179C"/>
    <w:rsid w:val="1AFF3B9A"/>
    <w:rsid w:val="1B103D73"/>
    <w:rsid w:val="1B41616E"/>
    <w:rsid w:val="1B6415FF"/>
    <w:rsid w:val="1B662AAD"/>
    <w:rsid w:val="1BD62213"/>
    <w:rsid w:val="1BFEA00E"/>
    <w:rsid w:val="1CDC37CE"/>
    <w:rsid w:val="1D77C33A"/>
    <w:rsid w:val="1DEBB745"/>
    <w:rsid w:val="1E3F13CD"/>
    <w:rsid w:val="1E9E31A8"/>
    <w:rsid w:val="1ED66FCF"/>
    <w:rsid w:val="1EF7F7BF"/>
    <w:rsid w:val="1F7EBB5A"/>
    <w:rsid w:val="1F7FAC2A"/>
    <w:rsid w:val="1FAD2A59"/>
    <w:rsid w:val="1FAF4919"/>
    <w:rsid w:val="1FB36451"/>
    <w:rsid w:val="1FE47FAB"/>
    <w:rsid w:val="1FF87E2A"/>
    <w:rsid w:val="1FFB9F82"/>
    <w:rsid w:val="21F726B1"/>
    <w:rsid w:val="22B6F9AE"/>
    <w:rsid w:val="237F2682"/>
    <w:rsid w:val="23E7B3DB"/>
    <w:rsid w:val="24E848A1"/>
    <w:rsid w:val="25AD4C1F"/>
    <w:rsid w:val="26B0369A"/>
    <w:rsid w:val="273051AC"/>
    <w:rsid w:val="27D7CCBF"/>
    <w:rsid w:val="27EFC50A"/>
    <w:rsid w:val="27FDBB8D"/>
    <w:rsid w:val="29395066"/>
    <w:rsid w:val="29CF5C0C"/>
    <w:rsid w:val="2A560303"/>
    <w:rsid w:val="2AFEB808"/>
    <w:rsid w:val="2AFF640F"/>
    <w:rsid w:val="2B4C06CC"/>
    <w:rsid w:val="2B5F00AC"/>
    <w:rsid w:val="2B711D54"/>
    <w:rsid w:val="2BD2A7D3"/>
    <w:rsid w:val="2C4B9764"/>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C75471"/>
    <w:rsid w:val="2FCD230D"/>
    <w:rsid w:val="2FCEC156"/>
    <w:rsid w:val="2FCF3EE1"/>
    <w:rsid w:val="2FDFDA97"/>
    <w:rsid w:val="2FEA9691"/>
    <w:rsid w:val="2FF77C81"/>
    <w:rsid w:val="2FFBB643"/>
    <w:rsid w:val="2FFFD89C"/>
    <w:rsid w:val="2FFFDA46"/>
    <w:rsid w:val="310F3573"/>
    <w:rsid w:val="313A6169"/>
    <w:rsid w:val="32FD11AA"/>
    <w:rsid w:val="32FF4F96"/>
    <w:rsid w:val="335FDE6A"/>
    <w:rsid w:val="33EF2992"/>
    <w:rsid w:val="33F498E9"/>
    <w:rsid w:val="33FFDA07"/>
    <w:rsid w:val="34FC592B"/>
    <w:rsid w:val="35AB6935"/>
    <w:rsid w:val="35B06902"/>
    <w:rsid w:val="35F370D2"/>
    <w:rsid w:val="362F4692"/>
    <w:rsid w:val="364A3586"/>
    <w:rsid w:val="36DC5E9F"/>
    <w:rsid w:val="36EBBA03"/>
    <w:rsid w:val="370D0D0D"/>
    <w:rsid w:val="3762738D"/>
    <w:rsid w:val="376E28DE"/>
    <w:rsid w:val="377F1C13"/>
    <w:rsid w:val="37BE2A74"/>
    <w:rsid w:val="37CF8BD0"/>
    <w:rsid w:val="37DFA358"/>
    <w:rsid w:val="37F97A60"/>
    <w:rsid w:val="37FBCEAA"/>
    <w:rsid w:val="37FDB5C7"/>
    <w:rsid w:val="37FF3544"/>
    <w:rsid w:val="37FFC47D"/>
    <w:rsid w:val="383A485D"/>
    <w:rsid w:val="38ADDE3B"/>
    <w:rsid w:val="397FFE82"/>
    <w:rsid w:val="39DF294B"/>
    <w:rsid w:val="39FF4AAB"/>
    <w:rsid w:val="3AD31885"/>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8372A"/>
    <w:rsid w:val="3D7EAA9D"/>
    <w:rsid w:val="3D9F92CE"/>
    <w:rsid w:val="3DB84F06"/>
    <w:rsid w:val="3DBC8B63"/>
    <w:rsid w:val="3DC61E40"/>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C512A1"/>
    <w:rsid w:val="3FD9E67D"/>
    <w:rsid w:val="3FDFDF96"/>
    <w:rsid w:val="3FE79E5E"/>
    <w:rsid w:val="3FEE7B8C"/>
    <w:rsid w:val="3FEF8670"/>
    <w:rsid w:val="3FF5A6C6"/>
    <w:rsid w:val="3FFB72EC"/>
    <w:rsid w:val="3FFDAC88"/>
    <w:rsid w:val="3FFE8C60"/>
    <w:rsid w:val="3FFF0F11"/>
    <w:rsid w:val="3FFF2879"/>
    <w:rsid w:val="3FFFC9A4"/>
    <w:rsid w:val="410D4CAE"/>
    <w:rsid w:val="41101E4C"/>
    <w:rsid w:val="42073F06"/>
    <w:rsid w:val="42DFB18E"/>
    <w:rsid w:val="437767F2"/>
    <w:rsid w:val="43A2CC56"/>
    <w:rsid w:val="43A6B773"/>
    <w:rsid w:val="43B04F82"/>
    <w:rsid w:val="43BD6F70"/>
    <w:rsid w:val="43BF9E43"/>
    <w:rsid w:val="443D6757"/>
    <w:rsid w:val="44FEC3B7"/>
    <w:rsid w:val="45BB3CEC"/>
    <w:rsid w:val="45D71AB3"/>
    <w:rsid w:val="45F6F8F6"/>
    <w:rsid w:val="45FBC3A4"/>
    <w:rsid w:val="461A6091"/>
    <w:rsid w:val="469D551D"/>
    <w:rsid w:val="46EA38A2"/>
    <w:rsid w:val="46FE088F"/>
    <w:rsid w:val="473F5884"/>
    <w:rsid w:val="475472AD"/>
    <w:rsid w:val="479E9BD7"/>
    <w:rsid w:val="47CD5B03"/>
    <w:rsid w:val="47EF0EC3"/>
    <w:rsid w:val="47F854A9"/>
    <w:rsid w:val="47FB23C7"/>
    <w:rsid w:val="48B4421B"/>
    <w:rsid w:val="495B44AF"/>
    <w:rsid w:val="4A9B5A20"/>
    <w:rsid w:val="4ABDA8F0"/>
    <w:rsid w:val="4BB6692E"/>
    <w:rsid w:val="4BDAF9A3"/>
    <w:rsid w:val="4BDF3CBE"/>
    <w:rsid w:val="4BFC0F0C"/>
    <w:rsid w:val="4C0241C6"/>
    <w:rsid w:val="4CFBEB0A"/>
    <w:rsid w:val="4DF7AC1E"/>
    <w:rsid w:val="4DFFE173"/>
    <w:rsid w:val="4E91314E"/>
    <w:rsid w:val="4E9FB034"/>
    <w:rsid w:val="4EFED12E"/>
    <w:rsid w:val="4F9B10F5"/>
    <w:rsid w:val="4FDC8063"/>
    <w:rsid w:val="4FDFCB68"/>
    <w:rsid w:val="4FF36028"/>
    <w:rsid w:val="4FFC58EC"/>
    <w:rsid w:val="509F1015"/>
    <w:rsid w:val="50FA4494"/>
    <w:rsid w:val="5127DED4"/>
    <w:rsid w:val="51667FE7"/>
    <w:rsid w:val="526F000F"/>
    <w:rsid w:val="52AC1DB3"/>
    <w:rsid w:val="52F87888"/>
    <w:rsid w:val="539A4AC7"/>
    <w:rsid w:val="53AB5695"/>
    <w:rsid w:val="53F73380"/>
    <w:rsid w:val="54D97871"/>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8D26F91"/>
    <w:rsid w:val="593928E6"/>
    <w:rsid w:val="596E3393"/>
    <w:rsid w:val="596FC975"/>
    <w:rsid w:val="5977F14E"/>
    <w:rsid w:val="597CE206"/>
    <w:rsid w:val="59BD31D3"/>
    <w:rsid w:val="59FB51C0"/>
    <w:rsid w:val="59FBCCC0"/>
    <w:rsid w:val="59FF35AE"/>
    <w:rsid w:val="5A2E72E3"/>
    <w:rsid w:val="5A776657"/>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9F78B3"/>
    <w:rsid w:val="61BD3765"/>
    <w:rsid w:val="61E7D63D"/>
    <w:rsid w:val="61F68ED4"/>
    <w:rsid w:val="622A33CC"/>
    <w:rsid w:val="62804EA0"/>
    <w:rsid w:val="63EBE787"/>
    <w:rsid w:val="63F5E8AB"/>
    <w:rsid w:val="63F6BD3E"/>
    <w:rsid w:val="64DF3C0F"/>
    <w:rsid w:val="651D16BC"/>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231B8D"/>
    <w:rsid w:val="696AD71A"/>
    <w:rsid w:val="697E77B5"/>
    <w:rsid w:val="69BA397D"/>
    <w:rsid w:val="69DFCC05"/>
    <w:rsid w:val="6A3D00DC"/>
    <w:rsid w:val="6A4F07D1"/>
    <w:rsid w:val="6A73759C"/>
    <w:rsid w:val="6A8A174C"/>
    <w:rsid w:val="6B2D143F"/>
    <w:rsid w:val="6B7CD9E1"/>
    <w:rsid w:val="6B7EAFD3"/>
    <w:rsid w:val="6B8BDDC3"/>
    <w:rsid w:val="6BBB773F"/>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631CCD"/>
    <w:rsid w:val="6E6F0D46"/>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174D9"/>
    <w:rsid w:val="6FCF7711"/>
    <w:rsid w:val="6FCFF766"/>
    <w:rsid w:val="6FED4951"/>
    <w:rsid w:val="6FEF6C3C"/>
    <w:rsid w:val="6FEFC133"/>
    <w:rsid w:val="6FF14ABA"/>
    <w:rsid w:val="6FFD17BC"/>
    <w:rsid w:val="6FFF82B5"/>
    <w:rsid w:val="6FFF8505"/>
    <w:rsid w:val="70076708"/>
    <w:rsid w:val="703C5FE9"/>
    <w:rsid w:val="70DFFBA6"/>
    <w:rsid w:val="70EE8021"/>
    <w:rsid w:val="71A357D5"/>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FF40B5"/>
    <w:rsid w:val="79392DCF"/>
    <w:rsid w:val="796532FF"/>
    <w:rsid w:val="797BA4E3"/>
    <w:rsid w:val="79891677"/>
    <w:rsid w:val="799C5854"/>
    <w:rsid w:val="79CBDB21"/>
    <w:rsid w:val="79DF7FB4"/>
    <w:rsid w:val="79EBC953"/>
    <w:rsid w:val="79F769E9"/>
    <w:rsid w:val="79FBAC1F"/>
    <w:rsid w:val="79FDEA39"/>
    <w:rsid w:val="7A898170"/>
    <w:rsid w:val="7A950F60"/>
    <w:rsid w:val="7A971EE5"/>
    <w:rsid w:val="7AA67271"/>
    <w:rsid w:val="7AA74DCB"/>
    <w:rsid w:val="7AF17E5E"/>
    <w:rsid w:val="7AFB3BB2"/>
    <w:rsid w:val="7AFF0780"/>
    <w:rsid w:val="7AFF12B0"/>
    <w:rsid w:val="7B1C78A1"/>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F93A0"/>
    <w:rsid w:val="7D360B0D"/>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8"/>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ListBullet2"/>
    <w:basedOn w:val="1"/>
    <w:qFormat/>
    <w:uiPriority w:val="99"/>
    <w:pPr>
      <w:numPr>
        <w:ilvl w:val="0"/>
        <w:numId w:val="1"/>
      </w:numPr>
    </w:pPr>
  </w:style>
  <w:style w:type="paragraph" w:styleId="5">
    <w:name w:val="annotation text"/>
    <w:basedOn w:val="1"/>
    <w:link w:val="53"/>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1"/>
    <w:autoRedefine/>
    <w:semiHidden/>
    <w:qFormat/>
    <w:uiPriority w:val="99"/>
    <w:rPr>
      <w:sz w:val="18"/>
      <w:szCs w:val="18"/>
    </w:rPr>
  </w:style>
  <w:style w:type="paragraph" w:styleId="8">
    <w:name w:val="footer"/>
    <w:basedOn w:val="1"/>
    <w:link w:val="55"/>
    <w:autoRedefine/>
    <w:qFormat/>
    <w:uiPriority w:val="99"/>
    <w:pPr>
      <w:tabs>
        <w:tab w:val="center" w:pos="4153"/>
        <w:tab w:val="right" w:pos="8306"/>
      </w:tabs>
      <w:snapToGrid w:val="0"/>
      <w:jc w:val="left"/>
    </w:pPr>
    <w:rPr>
      <w:sz w:val="18"/>
      <w:szCs w:val="18"/>
    </w:rPr>
  </w:style>
  <w:style w:type="paragraph" w:styleId="9">
    <w:name w:val="header"/>
    <w:basedOn w:val="1"/>
    <w:link w:val="52"/>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4"/>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paragraph" w:customStyle="1" w:styleId="27">
    <w:name w:val="列出段落11"/>
    <w:basedOn w:val="1"/>
    <w:qFormat/>
    <w:uiPriority w:val="0"/>
    <w:pPr>
      <w:ind w:firstLine="420" w:firstLineChars="200"/>
    </w:pPr>
    <w:rPr>
      <w:rFonts w:ascii="Calibri" w:hAnsi="Calibri"/>
    </w:rPr>
  </w:style>
  <w:style w:type="character" w:customStyle="1" w:styleId="28">
    <w:name w:val="标题 1 Char"/>
    <w:basedOn w:val="13"/>
    <w:link w:val="3"/>
    <w:autoRedefine/>
    <w:qFormat/>
    <w:uiPriority w:val="9"/>
    <w:rPr>
      <w:b/>
      <w:bCs/>
      <w:kern w:val="44"/>
      <w:sz w:val="44"/>
      <w:szCs w:val="44"/>
    </w:rPr>
  </w:style>
  <w:style w:type="character" w:customStyle="1" w:styleId="29">
    <w:name w:val="bds_more1"/>
    <w:basedOn w:val="13"/>
    <w:autoRedefine/>
    <w:qFormat/>
    <w:uiPriority w:val="99"/>
  </w:style>
  <w:style w:type="character" w:customStyle="1" w:styleId="30">
    <w:name w:val="org_name2"/>
    <w:basedOn w:val="13"/>
    <w:autoRedefine/>
    <w:qFormat/>
    <w:uiPriority w:val="99"/>
  </w:style>
  <w:style w:type="character" w:customStyle="1" w:styleId="31">
    <w:name w:val="no5"/>
    <w:basedOn w:val="13"/>
    <w:autoRedefine/>
    <w:qFormat/>
    <w:uiPriority w:val="99"/>
  </w:style>
  <w:style w:type="character" w:customStyle="1" w:styleId="32">
    <w:name w:val="Comment Text Char"/>
    <w:basedOn w:val="13"/>
    <w:autoRedefine/>
    <w:qFormat/>
    <w:locked/>
    <w:uiPriority w:val="99"/>
    <w:rPr>
      <w:kern w:val="2"/>
      <w:sz w:val="24"/>
      <w:szCs w:val="24"/>
    </w:rPr>
  </w:style>
  <w:style w:type="character" w:customStyle="1" w:styleId="33">
    <w:name w:val="bds_nopic"/>
    <w:basedOn w:val="13"/>
    <w:autoRedefine/>
    <w:qFormat/>
    <w:uiPriority w:val="99"/>
  </w:style>
  <w:style w:type="character" w:customStyle="1" w:styleId="34">
    <w:name w:val="bds_more"/>
    <w:basedOn w:val="13"/>
    <w:autoRedefine/>
    <w:qFormat/>
    <w:uiPriority w:val="99"/>
  </w:style>
  <w:style w:type="character" w:customStyle="1" w:styleId="35">
    <w:name w:val="ui-bz-bg-hover"/>
    <w:basedOn w:val="13"/>
    <w:autoRedefine/>
    <w:qFormat/>
    <w:uiPriority w:val="99"/>
    <w:rPr>
      <w:shd w:val="clear" w:color="auto" w:fill="000000"/>
    </w:rPr>
  </w:style>
  <w:style w:type="character" w:customStyle="1" w:styleId="36">
    <w:name w:val="f-star"/>
    <w:basedOn w:val="13"/>
    <w:autoRedefine/>
    <w:qFormat/>
    <w:uiPriority w:val="99"/>
    <w:rPr>
      <w:color w:val="auto"/>
      <w:sz w:val="21"/>
      <w:szCs w:val="21"/>
    </w:rPr>
  </w:style>
  <w:style w:type="character" w:customStyle="1" w:styleId="37">
    <w:name w:val="ui-bz-bg-hover1"/>
    <w:basedOn w:val="13"/>
    <w:autoRedefine/>
    <w:qFormat/>
    <w:uiPriority w:val="99"/>
  </w:style>
  <w:style w:type="character" w:customStyle="1" w:styleId="38">
    <w:name w:val="my-class2"/>
    <w:basedOn w:val="13"/>
    <w:autoRedefine/>
    <w:qFormat/>
    <w:uiPriority w:val="99"/>
  </w:style>
  <w:style w:type="character" w:customStyle="1" w:styleId="39">
    <w:name w:val="orange"/>
    <w:basedOn w:val="13"/>
    <w:autoRedefine/>
    <w:qFormat/>
    <w:uiPriority w:val="99"/>
    <w:rPr>
      <w:color w:val="auto"/>
    </w:rPr>
  </w:style>
  <w:style w:type="character" w:customStyle="1" w:styleId="40">
    <w:name w:val="no42"/>
    <w:basedOn w:val="13"/>
    <w:autoRedefine/>
    <w:qFormat/>
    <w:uiPriority w:val="99"/>
  </w:style>
  <w:style w:type="character" w:customStyle="1" w:styleId="41">
    <w:name w:val="bds_nopic2"/>
    <w:basedOn w:val="13"/>
    <w:qFormat/>
    <w:uiPriority w:val="99"/>
  </w:style>
  <w:style w:type="character" w:customStyle="1" w:styleId="42">
    <w:name w:val="no72"/>
    <w:basedOn w:val="13"/>
    <w:autoRedefine/>
    <w:qFormat/>
    <w:uiPriority w:val="99"/>
  </w:style>
  <w:style w:type="character" w:customStyle="1" w:styleId="43">
    <w:name w:val="tip"/>
    <w:basedOn w:val="13"/>
    <w:autoRedefine/>
    <w:qFormat/>
    <w:uiPriority w:val="99"/>
    <w:rPr>
      <w:vanish/>
      <w:color w:val="FF0000"/>
      <w:sz w:val="18"/>
      <w:szCs w:val="18"/>
    </w:rPr>
  </w:style>
  <w:style w:type="character" w:customStyle="1" w:styleId="44">
    <w:name w:val="bds_nopic1"/>
    <w:basedOn w:val="13"/>
    <w:autoRedefine/>
    <w:qFormat/>
    <w:uiPriority w:val="99"/>
  </w:style>
  <w:style w:type="character" w:customStyle="1" w:styleId="45">
    <w:name w:val="no62"/>
    <w:basedOn w:val="13"/>
    <w:autoRedefine/>
    <w:qFormat/>
    <w:uiPriority w:val="99"/>
  </w:style>
  <w:style w:type="character" w:customStyle="1" w:styleId="46">
    <w:name w:val="my-notice1"/>
    <w:basedOn w:val="13"/>
    <w:autoRedefine/>
    <w:qFormat/>
    <w:uiPriority w:val="99"/>
  </w:style>
  <w:style w:type="character" w:customStyle="1" w:styleId="47">
    <w:name w:val="Comment Subject Char"/>
    <w:basedOn w:val="32"/>
    <w:autoRedefine/>
    <w:qFormat/>
    <w:locked/>
    <w:uiPriority w:val="99"/>
    <w:rPr>
      <w:b/>
      <w:bCs/>
      <w:kern w:val="2"/>
      <w:sz w:val="24"/>
      <w:szCs w:val="24"/>
    </w:rPr>
  </w:style>
  <w:style w:type="character" w:customStyle="1" w:styleId="48">
    <w:name w:val="top-icon"/>
    <w:basedOn w:val="13"/>
    <w:autoRedefine/>
    <w:qFormat/>
    <w:uiPriority w:val="99"/>
  </w:style>
  <w:style w:type="character" w:customStyle="1" w:styleId="49">
    <w:name w:val="t-tag"/>
    <w:basedOn w:val="13"/>
    <w:autoRedefine/>
    <w:qFormat/>
    <w:uiPriority w:val="99"/>
    <w:rPr>
      <w:color w:val="FFFFFF"/>
      <w:sz w:val="18"/>
      <w:szCs w:val="18"/>
      <w:shd w:val="clear" w:color="auto" w:fill="auto"/>
    </w:rPr>
  </w:style>
  <w:style w:type="character" w:customStyle="1" w:styleId="50">
    <w:name w:val="Balloon Text Char"/>
    <w:basedOn w:val="13"/>
    <w:autoRedefine/>
    <w:qFormat/>
    <w:locked/>
    <w:uiPriority w:val="99"/>
    <w:rPr>
      <w:kern w:val="2"/>
      <w:sz w:val="18"/>
      <w:szCs w:val="18"/>
    </w:rPr>
  </w:style>
  <w:style w:type="character" w:customStyle="1" w:styleId="51">
    <w:name w:val="批注框文本 Char"/>
    <w:basedOn w:val="13"/>
    <w:link w:val="7"/>
    <w:autoRedefine/>
    <w:semiHidden/>
    <w:qFormat/>
    <w:uiPriority w:val="99"/>
    <w:rPr>
      <w:sz w:val="0"/>
      <w:szCs w:val="0"/>
    </w:rPr>
  </w:style>
  <w:style w:type="character" w:customStyle="1" w:styleId="52">
    <w:name w:val="页眉 Char"/>
    <w:basedOn w:val="13"/>
    <w:link w:val="9"/>
    <w:autoRedefine/>
    <w:semiHidden/>
    <w:qFormat/>
    <w:uiPriority w:val="99"/>
    <w:rPr>
      <w:sz w:val="18"/>
      <w:szCs w:val="18"/>
    </w:rPr>
  </w:style>
  <w:style w:type="character" w:customStyle="1" w:styleId="53">
    <w:name w:val="批注文字 Char"/>
    <w:basedOn w:val="13"/>
    <w:link w:val="5"/>
    <w:autoRedefine/>
    <w:semiHidden/>
    <w:qFormat/>
    <w:uiPriority w:val="99"/>
    <w:rPr>
      <w:szCs w:val="21"/>
    </w:rPr>
  </w:style>
  <w:style w:type="character" w:customStyle="1" w:styleId="54">
    <w:name w:val="批注主题 Char"/>
    <w:basedOn w:val="32"/>
    <w:link w:val="10"/>
    <w:autoRedefine/>
    <w:semiHidden/>
    <w:qFormat/>
    <w:uiPriority w:val="99"/>
    <w:rPr>
      <w:b/>
      <w:bCs/>
      <w:kern w:val="2"/>
      <w:sz w:val="24"/>
      <w:szCs w:val="21"/>
    </w:rPr>
  </w:style>
  <w:style w:type="character" w:customStyle="1" w:styleId="55">
    <w:name w:val="页脚 Char"/>
    <w:basedOn w:val="13"/>
    <w:link w:val="8"/>
    <w:autoRedefine/>
    <w:semiHidden/>
    <w:qFormat/>
    <w:uiPriority w:val="99"/>
    <w:rPr>
      <w:sz w:val="18"/>
      <w:szCs w:val="18"/>
    </w:rPr>
  </w:style>
  <w:style w:type="paragraph" w:customStyle="1" w:styleId="56">
    <w:name w:val="Char"/>
    <w:basedOn w:val="1"/>
    <w:autoRedefine/>
    <w:qFormat/>
    <w:uiPriority w:val="99"/>
    <w:pPr>
      <w:widowControl/>
      <w:spacing w:after="160" w:line="240" w:lineRule="exact"/>
      <w:jc w:val="left"/>
    </w:pPr>
  </w:style>
  <w:style w:type="paragraph" w:customStyle="1" w:styleId="57">
    <w:name w:val="Char1"/>
    <w:basedOn w:val="1"/>
    <w:autoRedefine/>
    <w:qFormat/>
    <w:uiPriority w:val="99"/>
    <w:pPr>
      <w:widowControl/>
      <w:spacing w:after="160" w:line="240" w:lineRule="exact"/>
      <w:jc w:val="left"/>
    </w:pPr>
  </w:style>
  <w:style w:type="paragraph" w:customStyle="1" w:styleId="58">
    <w:name w:val="Table Paragraph"/>
    <w:basedOn w:val="1"/>
    <w:autoRedefine/>
    <w:qFormat/>
    <w:uiPriority w:val="1"/>
    <w:pPr>
      <w:jc w:val="left"/>
    </w:pPr>
    <w:rPr>
      <w:rFonts w:ascii="Calibri" w:hAnsi="Calibri"/>
      <w:kern w:val="0"/>
      <w:sz w:val="22"/>
      <w:szCs w:val="22"/>
      <w:lang w:eastAsia="en-US"/>
    </w:rPr>
  </w:style>
  <w:style w:type="paragraph" w:customStyle="1" w:styleId="59">
    <w:name w:val="Table Text"/>
    <w:basedOn w:val="1"/>
    <w:autoRedefine/>
    <w:semiHidden/>
    <w:qFormat/>
    <w:uiPriority w:val="0"/>
    <w:rPr>
      <w:rFonts w:ascii="仿宋" w:hAnsi="仿宋" w:eastAsia="仿宋" w:cs="仿宋"/>
      <w:sz w:val="24"/>
      <w:szCs w:val="24"/>
      <w:lang w:val="en-US" w:eastAsia="en-US" w:bidi="ar-SA"/>
    </w:rPr>
  </w:style>
  <w:style w:type="table" w:customStyle="1" w:styleId="60">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1333</Words>
  <Characters>1667</Characters>
  <Lines>26</Lines>
  <Paragraphs>7</Paragraphs>
  <TotalTime>0</TotalTime>
  <ScaleCrop>false</ScaleCrop>
  <LinksUpToDate>false</LinksUpToDate>
  <CharactersWithSpaces>1722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威诺检测</cp:lastModifiedBy>
  <cp:lastPrinted>2019-01-29T15:39:00Z</cp:lastPrinted>
  <dcterms:modified xsi:type="dcterms:W3CDTF">2026-04-21T08:54:50Z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2F25FF0C6BF44015A6DF81BED3782307_13</vt:lpwstr>
  </property>
  <property fmtid="{D5CDD505-2E9C-101B-9397-08002B2CF9AE}" pid="4" name="KSOTemplateDocerSaveRecord">
    <vt:lpwstr>eyJoZGlkIjoiZTU4OWFkOTI0ZTEwOGEyMWU1YTk5NmM1NmZmYTc5MDciLCJ1c2VySWQiOiIxNzI5MjYxODMwIn0=</vt:lpwstr>
  </property>
</Properties>
</file>