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9F8" w:rsidRDefault="00C629F8">
      <w:pPr>
        <w:tabs>
          <w:tab w:val="left" w:pos="6480"/>
        </w:tabs>
        <w:snapToGrid w:val="0"/>
        <w:spacing w:line="600" w:lineRule="atLeast"/>
        <w:rPr>
          <w:rFonts w:ascii="仿宋_GB2312" w:eastAsia="仿宋_GB2312" w:cs="Times New Roman"/>
          <w:sz w:val="32"/>
          <w:szCs w:val="32"/>
        </w:rPr>
      </w:pPr>
    </w:p>
    <w:p w:rsidR="00C629F8" w:rsidRDefault="00C629F8">
      <w:pPr>
        <w:tabs>
          <w:tab w:val="left" w:pos="6480"/>
        </w:tabs>
        <w:snapToGrid w:val="0"/>
        <w:spacing w:line="600" w:lineRule="atLeast"/>
        <w:ind w:firstLineChars="200" w:firstLine="640"/>
        <w:rPr>
          <w:rFonts w:ascii="方正黑体_GBK" w:eastAsia="方正黑体_GBK" w:cs="Times New Roman"/>
          <w:sz w:val="32"/>
          <w:szCs w:val="32"/>
        </w:rPr>
      </w:pPr>
    </w:p>
    <w:p w:rsidR="00C629F8" w:rsidRDefault="00C629F8">
      <w:pPr>
        <w:snapToGrid w:val="0"/>
        <w:spacing w:line="600" w:lineRule="atLeast"/>
        <w:rPr>
          <w:rFonts w:ascii="Times New Roman" w:hAnsi="Times New Roman" w:cs="Times New Roman"/>
          <w:sz w:val="32"/>
          <w:szCs w:val="32"/>
        </w:rPr>
      </w:pPr>
    </w:p>
    <w:p w:rsidR="00C629F8" w:rsidRDefault="002135F8">
      <w:pPr>
        <w:tabs>
          <w:tab w:val="left" w:pos="7020"/>
        </w:tabs>
        <w:spacing w:beforeLines="50" w:before="156"/>
        <w:jc w:val="center"/>
        <w:rPr>
          <w:rFonts w:ascii="方正小标宋_GBK" w:eastAsia="方正小标宋_GBK" w:cs="Times New Roman"/>
          <w:color w:val="FF0000"/>
          <w:spacing w:val="2"/>
          <w:w w:val="78"/>
          <w:sz w:val="94"/>
          <w:szCs w:val="94"/>
        </w:rPr>
      </w:pPr>
      <w:r>
        <w:rPr>
          <w:rFonts w:ascii="方正小标宋_GBK" w:eastAsia="方正小标宋_GBK" w:cs="Times New Roman" w:hint="eastAsia"/>
          <w:color w:val="FF0000"/>
          <w:spacing w:val="2"/>
          <w:w w:val="78"/>
          <w:sz w:val="94"/>
          <w:szCs w:val="94"/>
        </w:rPr>
        <w:t>江苏省药品监督管理局文件</w:t>
      </w:r>
    </w:p>
    <w:p w:rsidR="00C629F8" w:rsidRDefault="00C629F8">
      <w:pPr>
        <w:snapToGrid w:val="0"/>
        <w:spacing w:line="600" w:lineRule="atLeast"/>
        <w:rPr>
          <w:rFonts w:ascii="方正姚体" w:eastAsia="方正姚体" w:cs="Times New Roman"/>
          <w:spacing w:val="-60"/>
          <w:sz w:val="30"/>
          <w:szCs w:val="30"/>
        </w:rPr>
      </w:pPr>
    </w:p>
    <w:p w:rsidR="00C629F8" w:rsidRDefault="002135F8">
      <w:pPr>
        <w:suppressAutoHyphens/>
        <w:snapToGrid w:val="0"/>
        <w:spacing w:line="240" w:lineRule="atLeast"/>
        <w:ind w:right="68"/>
        <w:jc w:val="center"/>
        <w:rPr>
          <w:rFonts w:ascii="方正仿宋_GBK" w:eastAsia="方正仿宋_GBK" w:cs="Times New Roman"/>
          <w:sz w:val="32"/>
          <w:szCs w:val="32"/>
        </w:rPr>
      </w:pPr>
      <w:r>
        <w:rPr>
          <w:rFonts w:ascii="方正仿宋_GBK" w:eastAsia="方正仿宋_GBK" w:cs="方正仿宋_GBK" w:hint="eastAsia"/>
          <w:sz w:val="32"/>
          <w:szCs w:val="32"/>
        </w:rPr>
        <w:t>苏药监人〔2025〕</w:t>
      </w:r>
      <w:r>
        <w:rPr>
          <w:rFonts w:ascii="方正仿宋_GBK" w:hAnsi="方正仿宋_GBK" w:cs="方正仿宋_GBK" w:hint="eastAsia"/>
          <w:sz w:val="32"/>
          <w:szCs w:val="32"/>
        </w:rPr>
        <w:t>31</w:t>
      </w:r>
      <w:r>
        <w:rPr>
          <w:rFonts w:ascii="方正仿宋_GBK" w:eastAsia="方正仿宋_GBK" w:cs="方正仿宋_GBK" w:hint="eastAsia"/>
          <w:sz w:val="32"/>
          <w:szCs w:val="32"/>
        </w:rPr>
        <w:t>号</w:t>
      </w:r>
      <w:r>
        <w:rPr>
          <w:rFonts w:ascii="Times New Roman" w:hAnsi="Times New Roman" w:cs="Times New Roman"/>
          <w:noProof/>
          <w:szCs w:val="24"/>
        </w:rPr>
        <mc:AlternateContent>
          <mc:Choice Requires="wps">
            <w:drawing>
              <wp:anchor distT="0" distB="0" distL="114298" distR="114298" simplePos="0" relativeHeight="21" behindDoc="0" locked="0" layoutInCell="1" hidden="0" allowOverlap="1">
                <wp:simplePos x="0" y="0"/>
                <wp:positionH relativeFrom="column">
                  <wp:posOffset>0</wp:posOffset>
                </wp:positionH>
                <wp:positionV relativeFrom="paragraph">
                  <wp:posOffset>330200</wp:posOffset>
                </wp:positionV>
                <wp:extent cx="5600700" cy="952"/>
                <wp:effectExtent l="0" t="0" r="0" b="0"/>
                <wp:wrapNone/>
                <wp:docPr id="4"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00700" cy="952"/>
                        </a:xfrm>
                        <a:prstGeom prst="line">
                          <a:avLst/>
                        </a:prstGeom>
                        <a:noFill/>
                        <a:ln w="25400" cap="flat" cmpd="sng">
                          <a:solidFill>
                            <a:srgbClr val="FF0000"/>
                          </a:solidFill>
                          <a:prstDash val="solid"/>
                          <a:round/>
                        </a:ln>
                      </wps:spPr>
                      <wps:bodyPr/>
                    </wps:wsp>
                  </a:graphicData>
                </a:graphic>
              </wp:anchor>
            </w:drawing>
          </mc:Choice>
          <mc:Fallback xmlns:a="http://schemas.openxmlformats.org/drawingml/2006/main" xmlns:pic="http://schemas.openxmlformats.org/drawingml/2006/picture" xmlns:w15="http://schemas.microsoft.com/office/word/2012/wordml" xmlns:a14="http://schemas.microsoft.com/office/drawing/2010/main">
            <w:pict>
              <v:line type="#_x0000_t20" id="直接连接符 2 5" o:spid="_x0000_s5" from="0.0pt,26.0pt" to="441.0pt,26.074997pt" filled="f" stroked="t" strokeweight="2.0pt" style="position:absolute;z-index:21;mso-position-horizontal:absolute;mso-position-vertical:absolute;mso-wrap-distance-left:8.999863pt;mso-wrap-distance-right:8.999863pt;visibility:visible;">
                <v:stroke color="#FF0000"/>
              </v:line>
            </w:pict>
          </mc:Fallback>
        </mc:AlternateContent>
      </w:r>
    </w:p>
    <w:p w:rsidR="00C629F8" w:rsidRDefault="00C629F8">
      <w:pPr>
        <w:adjustRightInd w:val="0"/>
        <w:snapToGrid w:val="0"/>
        <w:spacing w:line="590" w:lineRule="atLeast"/>
        <w:rPr>
          <w:rFonts w:ascii="Times New Roman" w:eastAsia="方正小标宋_GBK" w:hAnsi="Times New Roman" w:cs="Times New Roman"/>
          <w:sz w:val="44"/>
          <w:szCs w:val="44"/>
        </w:rPr>
      </w:pPr>
    </w:p>
    <w:p w:rsidR="00C629F8" w:rsidRDefault="002135F8">
      <w:pPr>
        <w:adjustRightInd w:val="0"/>
        <w:snapToGrid w:val="0"/>
        <w:spacing w:line="590" w:lineRule="exact"/>
        <w:jc w:val="center"/>
        <w:rPr>
          <w:rFonts w:ascii="Times New Roman" w:eastAsia="方正小标宋_GBK" w:hAnsi="Times New Roman" w:cs="Times New Roman"/>
          <w:sz w:val="44"/>
          <w:szCs w:val="24"/>
        </w:rPr>
      </w:pPr>
      <w:r>
        <w:rPr>
          <w:rFonts w:ascii="Times New Roman" w:eastAsia="方正小标宋_GBK" w:hAnsi="Times New Roman" w:cs="Times New Roman"/>
          <w:sz w:val="44"/>
          <w:szCs w:val="24"/>
        </w:rPr>
        <w:t>关于报送</w:t>
      </w:r>
      <w:r>
        <w:rPr>
          <w:rFonts w:ascii="Times New Roman" w:eastAsia="方正小标宋_GBK" w:hAnsi="Times New Roman" w:cs="Times New Roman"/>
          <w:sz w:val="44"/>
          <w:szCs w:val="24"/>
        </w:rPr>
        <w:t>202</w:t>
      </w:r>
      <w:r>
        <w:rPr>
          <w:rFonts w:ascii="Times New Roman" w:eastAsia="方正小标宋_GBK" w:hAnsi="Times New Roman" w:cs="Times New Roman" w:hint="eastAsia"/>
          <w:sz w:val="44"/>
          <w:szCs w:val="24"/>
        </w:rPr>
        <w:t>5</w:t>
      </w:r>
      <w:r>
        <w:rPr>
          <w:rFonts w:ascii="Times New Roman" w:eastAsia="方正小标宋_GBK" w:hAnsi="Times New Roman" w:cs="Times New Roman"/>
          <w:sz w:val="44"/>
          <w:szCs w:val="24"/>
        </w:rPr>
        <w:t>年度</w:t>
      </w:r>
      <w:r>
        <w:rPr>
          <w:rFonts w:ascii="Times New Roman" w:eastAsia="方正小标宋_GBK" w:hAnsi="Times New Roman" w:cs="Times New Roman" w:hint="eastAsia"/>
          <w:sz w:val="44"/>
          <w:szCs w:val="24"/>
        </w:rPr>
        <w:t>生物</w:t>
      </w:r>
      <w:r>
        <w:rPr>
          <w:rFonts w:ascii="Times New Roman" w:eastAsia="方正小标宋_GBK" w:hAnsi="Times New Roman" w:cs="Times New Roman"/>
          <w:sz w:val="44"/>
          <w:szCs w:val="24"/>
        </w:rPr>
        <w:t>医药工程</w:t>
      </w:r>
    </w:p>
    <w:p w:rsidR="00C629F8" w:rsidRDefault="002135F8">
      <w:pPr>
        <w:adjustRightInd w:val="0"/>
        <w:snapToGrid w:val="0"/>
        <w:spacing w:line="590" w:lineRule="exact"/>
        <w:jc w:val="center"/>
        <w:rPr>
          <w:rFonts w:ascii="Times New Roman" w:eastAsia="方正仿宋_GBK" w:hAnsi="Times New Roman" w:cs="Times New Roman"/>
          <w:sz w:val="32"/>
          <w:szCs w:val="32"/>
        </w:rPr>
      </w:pPr>
      <w:r>
        <w:rPr>
          <w:rFonts w:ascii="Times New Roman" w:eastAsia="方正小标宋_GBK" w:hAnsi="Times New Roman" w:cs="Times New Roman"/>
          <w:sz w:val="44"/>
          <w:szCs w:val="24"/>
        </w:rPr>
        <w:t>高、中级专业技术资格评审申报材料的通知</w:t>
      </w:r>
    </w:p>
    <w:p w:rsidR="00C629F8" w:rsidRDefault="00C629F8">
      <w:pPr>
        <w:adjustRightInd w:val="0"/>
        <w:snapToGrid w:val="0"/>
        <w:spacing w:line="590" w:lineRule="exact"/>
        <w:rPr>
          <w:rFonts w:ascii="Times New Roman" w:eastAsia="方正仿宋_GBK" w:hAnsi="Times New Roman" w:cs="Times New Roman"/>
          <w:sz w:val="32"/>
          <w:szCs w:val="32"/>
        </w:rPr>
      </w:pPr>
    </w:p>
    <w:p w:rsidR="00C629F8" w:rsidRDefault="002135F8">
      <w:pPr>
        <w:adjustRightInd w:val="0"/>
        <w:snapToGrid w:val="0"/>
        <w:spacing w:line="590" w:lineRule="exact"/>
        <w:rPr>
          <w:rFonts w:ascii="Times New Roman" w:eastAsia="方正仿宋_GBK" w:hAnsi="Times New Roman" w:cs="Times New Roman"/>
          <w:sz w:val="32"/>
          <w:szCs w:val="32"/>
        </w:rPr>
      </w:pPr>
      <w:r>
        <w:rPr>
          <w:rFonts w:ascii="Times New Roman" w:eastAsia="方正仿宋_GBK" w:hAnsi="Times New Roman" w:cs="Times New Roman"/>
          <w:sz w:val="32"/>
          <w:szCs w:val="32"/>
        </w:rPr>
        <w:t>各设区市市场监督管理局，省各有关单位：</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根据《省人力资源社会保障厅关于做好</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年度职称评审工作的通知》（苏人社发〔</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号）要求，现就报送</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年度全省生物医药工程高、中级专业技术资格评审申报材料有关事项通知如下：</w:t>
      </w:r>
    </w:p>
    <w:p w:rsidR="00C629F8" w:rsidRDefault="002135F8">
      <w:pPr>
        <w:adjustRightInd w:val="0"/>
        <w:snapToGrid w:val="0"/>
        <w:spacing w:line="59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一、申报评审范围和对象</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（一）在</w:t>
      </w:r>
      <w:r>
        <w:rPr>
          <w:rFonts w:ascii="Times New Roman" w:eastAsia="方正仿宋_GBK" w:hAnsi="Times New Roman" w:cs="Times New Roman"/>
          <w:sz w:val="32"/>
          <w:szCs w:val="32"/>
        </w:rPr>
        <w:t>全省</w:t>
      </w:r>
      <w:r>
        <w:rPr>
          <w:rFonts w:ascii="Times New Roman" w:eastAsia="方正仿宋_GBK" w:hAnsi="Times New Roman" w:cs="Times New Roman" w:hint="eastAsia"/>
          <w:sz w:val="32"/>
          <w:szCs w:val="32"/>
        </w:rPr>
        <w:t>各类</w:t>
      </w:r>
      <w:r>
        <w:rPr>
          <w:rFonts w:ascii="Times New Roman" w:eastAsia="方正仿宋_GBK" w:hAnsi="Times New Roman" w:cs="Times New Roman"/>
          <w:sz w:val="32"/>
          <w:szCs w:val="32"/>
        </w:rPr>
        <w:t>企事业单位从事生物制药、高端医疗器械、生物技术服务等领域的研发、生产、服务</w:t>
      </w:r>
      <w:r>
        <w:rPr>
          <w:rFonts w:ascii="Times New Roman" w:eastAsia="方正仿宋_GBK" w:hAnsi="Times New Roman" w:cs="Times New Roman" w:hint="eastAsia"/>
          <w:sz w:val="32"/>
          <w:szCs w:val="32"/>
        </w:rPr>
        <w:t>相关</w:t>
      </w:r>
      <w:r>
        <w:rPr>
          <w:rFonts w:ascii="Times New Roman" w:eastAsia="方正仿宋_GBK" w:hAnsi="Times New Roman" w:cs="Times New Roman"/>
          <w:sz w:val="32"/>
          <w:szCs w:val="32"/>
        </w:rPr>
        <w:t>工作，符合有关</w:t>
      </w:r>
      <w:r>
        <w:rPr>
          <w:rFonts w:ascii="Times New Roman" w:eastAsia="方正仿宋_GBK" w:hAnsi="Times New Roman" w:cs="Times New Roman" w:hint="eastAsia"/>
          <w:sz w:val="32"/>
          <w:szCs w:val="32"/>
        </w:rPr>
        <w:t>条件</w:t>
      </w:r>
      <w:r>
        <w:rPr>
          <w:rFonts w:ascii="Times New Roman" w:eastAsia="方正仿宋_GBK" w:hAnsi="Times New Roman" w:cs="Times New Roman"/>
          <w:sz w:val="32"/>
          <w:szCs w:val="32"/>
        </w:rPr>
        <w:t>的专业技术人</w:t>
      </w:r>
      <w:r>
        <w:rPr>
          <w:rFonts w:ascii="Times New Roman" w:eastAsia="方正仿宋_GBK" w:hAnsi="Times New Roman" w:cs="Times New Roman" w:hint="eastAsia"/>
          <w:sz w:val="32"/>
          <w:szCs w:val="32"/>
        </w:rPr>
        <w:t>才。</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（二）在我省就业的港澳台专业技术人才，以及持有外国人</w:t>
      </w:r>
      <w:r>
        <w:rPr>
          <w:rFonts w:ascii="Times New Roman" w:eastAsia="方正仿宋_GBK" w:hAnsi="Times New Roman" w:cs="Times New Roman" w:hint="eastAsia"/>
          <w:sz w:val="32"/>
          <w:szCs w:val="32"/>
        </w:rPr>
        <w:lastRenderedPageBreak/>
        <w:t>来华工作许可证、外国人永久居留身份证或江苏省海外高层次人才居住证的外籍人员。</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（三）公务员（含列入参照公务员法管理单位的工作人员）、退休人员不得申报职称评审。受到党纪、政务、行政处分的，在影响期内不得申报职称评审。</w:t>
      </w:r>
    </w:p>
    <w:p w:rsidR="00C629F8" w:rsidRDefault="002135F8">
      <w:pPr>
        <w:adjustRightInd w:val="0"/>
        <w:snapToGrid w:val="0"/>
        <w:spacing w:line="59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二、申报</w:t>
      </w:r>
      <w:r>
        <w:rPr>
          <w:rFonts w:ascii="Times New Roman" w:eastAsia="方正黑体_GBK" w:hAnsi="Times New Roman" w:cs="Times New Roman" w:hint="eastAsia"/>
          <w:sz w:val="32"/>
          <w:szCs w:val="32"/>
        </w:rPr>
        <w:t>评</w:t>
      </w:r>
      <w:r>
        <w:rPr>
          <w:rFonts w:ascii="Times New Roman" w:eastAsia="方正黑体_GBK" w:hAnsi="Times New Roman" w:cs="Times New Roman"/>
          <w:sz w:val="32"/>
          <w:szCs w:val="32"/>
        </w:rPr>
        <w:t>审政策</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（一）</w:t>
      </w:r>
      <w:r>
        <w:rPr>
          <w:rFonts w:ascii="Times New Roman" w:eastAsia="方正仿宋_GBK" w:hAnsi="Times New Roman" w:cs="Times New Roman" w:hint="eastAsia"/>
          <w:sz w:val="32"/>
          <w:szCs w:val="32"/>
        </w:rPr>
        <w:t>专业技术人才申报职称评审，应按照《职称评审管理暂行规定》和《江苏省职称评审管理办法》，以及</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江苏省生物医药工程专业技术资格条件（试行）</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（苏职称〔</w:t>
      </w:r>
      <w:r>
        <w:rPr>
          <w:rFonts w:ascii="Times New Roman" w:eastAsia="方正仿宋_GBK" w:hAnsi="Times New Roman" w:cs="Times New Roman" w:hint="eastAsia"/>
          <w:sz w:val="32"/>
          <w:szCs w:val="32"/>
        </w:rPr>
        <w:t>2021</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42</w:t>
      </w:r>
      <w:r>
        <w:rPr>
          <w:rFonts w:ascii="Times New Roman" w:eastAsia="方正仿宋_GBK" w:hAnsi="Times New Roman" w:cs="Times New Roman" w:hint="eastAsia"/>
          <w:sz w:val="32"/>
          <w:szCs w:val="32"/>
        </w:rPr>
        <w:t>号）</w:t>
      </w:r>
      <w:r>
        <w:rPr>
          <w:rFonts w:ascii="Times New Roman" w:eastAsia="方正仿宋_GBK" w:hAnsi="Times New Roman" w:cs="Times New Roman"/>
          <w:sz w:val="32"/>
          <w:szCs w:val="32"/>
        </w:rPr>
        <w:t>执行</w:t>
      </w:r>
      <w:r>
        <w:rPr>
          <w:rFonts w:ascii="Times New Roman" w:eastAsia="方正仿宋_GBK" w:hAnsi="Times New Roman" w:cs="Times New Roman" w:hint="eastAsia"/>
          <w:sz w:val="32"/>
          <w:szCs w:val="32"/>
        </w:rPr>
        <w:t>。</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二</w:t>
      </w:r>
      <w:r>
        <w:rPr>
          <w:rFonts w:ascii="Times New Roman" w:eastAsia="方正仿宋_GBK" w:hAnsi="Times New Roman" w:cs="Times New Roman"/>
          <w:sz w:val="32"/>
          <w:szCs w:val="32"/>
        </w:rPr>
        <w:t>）专业技术人</w:t>
      </w:r>
      <w:r>
        <w:rPr>
          <w:rFonts w:ascii="Times New Roman" w:eastAsia="方正仿宋_GBK" w:hAnsi="Times New Roman" w:cs="Times New Roman" w:hint="eastAsia"/>
          <w:sz w:val="32"/>
          <w:szCs w:val="32"/>
        </w:rPr>
        <w:t>才</w:t>
      </w:r>
      <w:r>
        <w:rPr>
          <w:rFonts w:ascii="Times New Roman" w:eastAsia="方正仿宋_GBK" w:hAnsi="Times New Roman" w:cs="Times New Roman"/>
          <w:sz w:val="32"/>
          <w:szCs w:val="32"/>
        </w:rPr>
        <w:t>申报职称的资历（任职年限）截止时间为</w:t>
      </w:r>
      <w:r>
        <w:rPr>
          <w:rFonts w:ascii="Times New Roman" w:eastAsia="方正仿宋_GBK" w:hAnsi="Times New Roman" w:cs="Times New Roman"/>
          <w:sz w:val="32"/>
          <w:szCs w:val="32"/>
        </w:rPr>
        <w:t>20</w:t>
      </w:r>
      <w:r>
        <w:rPr>
          <w:rFonts w:ascii="Times New Roman" w:eastAsia="方正仿宋_GBK" w:hAnsi="Times New Roman" w:cs="Times New Roman" w:hint="eastAsia"/>
          <w:sz w:val="32"/>
          <w:szCs w:val="32"/>
        </w:rPr>
        <w:t>24</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12</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31</w:t>
      </w:r>
      <w:r>
        <w:rPr>
          <w:rFonts w:ascii="Times New Roman" w:eastAsia="方正仿宋_GBK" w:hAnsi="Times New Roman" w:cs="Times New Roman"/>
          <w:sz w:val="32"/>
          <w:szCs w:val="32"/>
        </w:rPr>
        <w:t>日，申报职称的业绩成果、论文、学历（学位）等截止时间为</w:t>
      </w:r>
      <w:r>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月</w:t>
      </w:r>
      <w:r>
        <w:rPr>
          <w:rFonts w:ascii="Times New Roman" w:eastAsia="方正仿宋_GBK" w:hAnsi="Times New Roman" w:cs="Times New Roman"/>
          <w:sz w:val="32"/>
          <w:szCs w:val="32"/>
        </w:rPr>
        <w:t>31</w:t>
      </w:r>
      <w:r>
        <w:rPr>
          <w:rFonts w:ascii="Times New Roman" w:eastAsia="方正仿宋_GBK" w:hAnsi="Times New Roman" w:cs="Times New Roman"/>
          <w:sz w:val="32"/>
          <w:szCs w:val="32"/>
        </w:rPr>
        <w:t>日。</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（三）对取得重大基础研究和前沿技术突破、解决重大工程技术难题，在生物医药工程领域作出重大贡献的专业技术人才，以及引进的海外高层次人才和急需紧缺人才，</w:t>
      </w:r>
      <w:r>
        <w:rPr>
          <w:rFonts w:ascii="Times New Roman" w:eastAsia="方正仿宋_GBK" w:hAnsi="Times New Roman" w:cs="Times New Roman"/>
          <w:sz w:val="32"/>
          <w:szCs w:val="32"/>
        </w:rPr>
        <w:t>如</w:t>
      </w:r>
      <w:r>
        <w:rPr>
          <w:rFonts w:ascii="Times New Roman" w:eastAsia="方正仿宋_GBK" w:hAnsi="Times New Roman" w:cs="Times New Roman" w:hint="eastAsia"/>
          <w:sz w:val="32"/>
          <w:szCs w:val="32"/>
        </w:rPr>
        <w:t>在专业技术岗位取得的业绩、成果和贡献高于《江苏省生物医药工程专业技术资格条件（试行）》的破格申报条件，</w:t>
      </w:r>
      <w:r>
        <w:rPr>
          <w:rFonts w:ascii="Times New Roman" w:eastAsia="方正仿宋_GBK" w:hAnsi="Times New Roman" w:cs="Times New Roman"/>
          <w:sz w:val="32"/>
          <w:szCs w:val="32"/>
        </w:rPr>
        <w:t>且</w:t>
      </w:r>
      <w:r>
        <w:rPr>
          <w:rFonts w:ascii="Times New Roman" w:eastAsia="方正仿宋_GBK" w:hAnsi="Times New Roman" w:cs="Times New Roman" w:hint="eastAsia"/>
          <w:sz w:val="32"/>
          <w:szCs w:val="32"/>
        </w:rPr>
        <w:t>得到社会和业内专家广泛认可，</w:t>
      </w:r>
      <w:r>
        <w:rPr>
          <w:rFonts w:ascii="Times New Roman" w:eastAsia="方正仿宋_GBK" w:hAnsi="Times New Roman" w:cs="Times New Roman"/>
          <w:sz w:val="32"/>
          <w:szCs w:val="32"/>
        </w:rPr>
        <w:t>可以</w:t>
      </w:r>
      <w:r>
        <w:rPr>
          <w:rFonts w:ascii="Times New Roman" w:eastAsia="方正仿宋_GBK" w:hAnsi="Times New Roman" w:cs="Times New Roman" w:hint="eastAsia"/>
          <w:sz w:val="32"/>
          <w:szCs w:val="32"/>
        </w:rPr>
        <w:t>由</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名以上本领域或相近专业具备正高级职称的同行专家推荐，直接申报高级职称评审。</w:t>
      </w:r>
    </w:p>
    <w:p w:rsidR="00C629F8" w:rsidRDefault="002135F8">
      <w:pPr>
        <w:adjustRightInd w:val="0"/>
        <w:snapToGrid w:val="0"/>
        <w:spacing w:line="590" w:lineRule="exact"/>
        <w:ind w:firstLineChars="200" w:firstLine="640"/>
        <w:rPr>
          <w:rFonts w:ascii="Times New Roman" w:eastAsia="方正黑体_GBK" w:hAnsi="Times New Roman" w:cs="Times New Roman"/>
          <w:sz w:val="32"/>
          <w:szCs w:val="32"/>
        </w:rPr>
      </w:pPr>
      <w:r>
        <w:rPr>
          <w:rFonts w:ascii="Times New Roman" w:eastAsia="方正仿宋_GBK" w:hAnsi="Times New Roman" w:cs="Times New Roman" w:hint="eastAsia"/>
          <w:sz w:val="32"/>
          <w:szCs w:val="32"/>
        </w:rPr>
        <w:t>海外归国人员、党政机关交流或部队转业安置到企事业单位从事专业技术工作的人员，首次申报职称时可根据专业水平和工</w:t>
      </w:r>
      <w:r>
        <w:rPr>
          <w:rFonts w:ascii="Times New Roman" w:eastAsia="方正仿宋_GBK" w:hAnsi="Times New Roman" w:cs="Times New Roman" w:hint="eastAsia"/>
          <w:sz w:val="32"/>
          <w:szCs w:val="32"/>
        </w:rPr>
        <w:lastRenderedPageBreak/>
        <w:t>作业绩并参照同类人员评审标准，直接申报相应职称。</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（四）继续教育情况列为专业技术人才职称晋升的重要条件，按照《江苏省专业技术人员继续教育条例》和相关政策规定执行。</w:t>
      </w:r>
    </w:p>
    <w:p w:rsidR="00C629F8" w:rsidRDefault="002135F8">
      <w:pPr>
        <w:adjustRightInd w:val="0"/>
        <w:snapToGrid w:val="0"/>
        <w:spacing w:line="59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三、有关事项说明</w:t>
      </w:r>
    </w:p>
    <w:p w:rsidR="00C629F8" w:rsidRDefault="002135F8">
      <w:pPr>
        <w:shd w:val="clear" w:color="auto" w:fill="FFFFFF"/>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一</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中央驻苏单位</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外省驻苏企业的分支机构（分公司、办事处等）和驻苏部队专业技术人才，在我省申报评审，需提交经具有人事管理权限的主管部门出具的委托评审函，由省人力资源社会保障厅核准同意后，报送相应评审委员会。</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二</w:t>
      </w:r>
      <w:r>
        <w:rPr>
          <w:rFonts w:ascii="Times New Roman" w:eastAsia="方正仿宋_GBK" w:hAnsi="Times New Roman" w:cs="Times New Roman"/>
          <w:sz w:val="32"/>
          <w:szCs w:val="32"/>
        </w:rPr>
        <w:t>）本专业工作年限，一般从毕业参加本专业工作起计算，取得后续学历前的工作年限可累计计算，但必须将全脱产学习时间扣除。任职资历年限从现专业技术资格批准之日起计算。著作、论文</w:t>
      </w:r>
      <w:r>
        <w:rPr>
          <w:rFonts w:ascii="Times New Roman" w:eastAsia="方正仿宋_GBK" w:hAnsi="Times New Roman" w:cs="Times New Roman" w:hint="eastAsia"/>
          <w:sz w:val="32"/>
          <w:szCs w:val="32"/>
        </w:rPr>
        <w:t>从正式</w:t>
      </w:r>
      <w:r>
        <w:rPr>
          <w:rFonts w:ascii="Times New Roman" w:eastAsia="方正仿宋_GBK" w:hAnsi="Times New Roman" w:cs="Times New Roman"/>
          <w:sz w:val="32"/>
          <w:szCs w:val="32"/>
        </w:rPr>
        <w:t>发表</w:t>
      </w:r>
      <w:r>
        <w:rPr>
          <w:rFonts w:ascii="Times New Roman" w:eastAsia="方正仿宋_GBK" w:hAnsi="Times New Roman" w:cs="Times New Roman" w:hint="eastAsia"/>
          <w:sz w:val="32"/>
          <w:szCs w:val="32"/>
        </w:rPr>
        <w:t>之日起算，业绩成果从</w:t>
      </w:r>
      <w:r>
        <w:rPr>
          <w:rFonts w:ascii="Times New Roman" w:eastAsia="方正仿宋_GBK" w:hAnsi="Times New Roman" w:cs="Times New Roman"/>
          <w:sz w:val="32"/>
          <w:szCs w:val="32"/>
        </w:rPr>
        <w:t>鉴定之日起计算。其后取得的业绩成果、论文、学历（学位）证等不作为评审的有效材料。</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三</w:t>
      </w:r>
      <w:r>
        <w:rPr>
          <w:rFonts w:ascii="Times New Roman" w:eastAsia="方正仿宋_GBK" w:hAnsi="Times New Roman" w:cs="Times New Roman"/>
          <w:sz w:val="32"/>
          <w:szCs w:val="32"/>
        </w:rPr>
        <w:t>）根据相关文件要求，评审费</w:t>
      </w:r>
      <w:r>
        <w:rPr>
          <w:rFonts w:ascii="Times New Roman" w:eastAsia="方正仿宋_GBK" w:hAnsi="Times New Roman" w:cs="Times New Roman" w:hint="eastAsia"/>
          <w:sz w:val="32"/>
          <w:szCs w:val="32"/>
        </w:rPr>
        <w:t>收费标准</w:t>
      </w:r>
      <w:r>
        <w:rPr>
          <w:rFonts w:ascii="Times New Roman" w:eastAsia="方正仿宋_GBK" w:hAnsi="Times New Roman" w:cs="Times New Roman" w:hint="eastAsia"/>
          <w:sz w:val="32"/>
          <w:szCs w:val="32"/>
        </w:rPr>
        <w:t>400</w:t>
      </w:r>
      <w:r>
        <w:rPr>
          <w:rFonts w:ascii="Times New Roman" w:eastAsia="方正仿宋_GBK" w:hAnsi="Times New Roman" w:cs="Times New Roman" w:hint="eastAsia"/>
          <w:sz w:val="32"/>
          <w:szCs w:val="32"/>
        </w:rPr>
        <w:t>元</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人。</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四</w:t>
      </w:r>
      <w:r>
        <w:rPr>
          <w:rFonts w:ascii="Times New Roman" w:eastAsia="方正仿宋_GBK" w:hAnsi="Times New Roman" w:cs="Times New Roman"/>
          <w:sz w:val="32"/>
          <w:szCs w:val="32"/>
        </w:rPr>
        <w:t>）评审委员会在评审中对参加评审人员进行面试答辩。</w:t>
      </w:r>
    </w:p>
    <w:p w:rsidR="00C629F8" w:rsidRDefault="002135F8">
      <w:pPr>
        <w:adjustRightInd w:val="0"/>
        <w:snapToGrid w:val="0"/>
        <w:spacing w:line="59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四、申报</w:t>
      </w:r>
      <w:r>
        <w:rPr>
          <w:rFonts w:ascii="Times New Roman" w:eastAsia="方正黑体_GBK" w:hAnsi="Times New Roman" w:cs="Times New Roman" w:hint="eastAsia"/>
          <w:sz w:val="32"/>
          <w:szCs w:val="32"/>
        </w:rPr>
        <w:t>方式</w:t>
      </w:r>
    </w:p>
    <w:p w:rsidR="00C629F8" w:rsidRDefault="002135F8">
      <w:pPr>
        <w:adjustRightInd w:val="0"/>
        <w:snapToGrid w:val="0"/>
        <w:spacing w:line="590" w:lineRule="exact"/>
        <w:ind w:firstLineChars="200" w:firstLine="640"/>
        <w:rPr>
          <w:rFonts w:ascii="方正仿宋_GBK" w:eastAsia="方正仿宋_GBK" w:cs="Times New Roman"/>
          <w:sz w:val="32"/>
          <w:szCs w:val="32"/>
        </w:rPr>
      </w:pPr>
      <w:r>
        <w:rPr>
          <w:rFonts w:ascii="方正仿宋_GBK" w:eastAsia="方正仿宋_GBK" w:cs="Times New Roman" w:hint="eastAsia"/>
          <w:sz w:val="32"/>
          <w:szCs w:val="32"/>
        </w:rPr>
        <w:t>申报人应按照属地管理和个人自愿原则，按规定程序逐级报送相应评委会办事机构。申报人同一年度原则上只能向一个评审委员会申报职称评审。同一单位申报相同职称系列（专业）相同层级的人员应统一报送同一评委会，不得多头报送。</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方正楷体_GBK" w:eastAsia="方正楷体_GBK" w:cs="Times New Roman" w:hint="eastAsia"/>
          <w:sz w:val="32"/>
          <w:szCs w:val="32"/>
        </w:rPr>
        <w:t>（一）个人申报</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职称申报采取网上申报形式。申报人员实名登录江苏人才服务云平台（</w:t>
      </w:r>
      <w:r>
        <w:rPr>
          <w:rFonts w:ascii="Times New Roman" w:eastAsia="方正仿宋_GBK" w:hAnsi="Times New Roman" w:cs="Times New Roman" w:hint="eastAsia"/>
          <w:sz w:val="32"/>
          <w:szCs w:val="32"/>
        </w:rPr>
        <w:t>https://www.jssrcfwypt.org.cn</w:t>
      </w:r>
      <w:r>
        <w:rPr>
          <w:rFonts w:ascii="Times New Roman" w:eastAsia="方正仿宋_GBK" w:hAnsi="Times New Roman" w:cs="Times New Roman" w:hint="eastAsia"/>
          <w:sz w:val="32"/>
          <w:szCs w:val="32"/>
        </w:rPr>
        <w:t>）职称</w:t>
      </w:r>
      <w:r>
        <w:rPr>
          <w:rFonts w:ascii="Times New Roman" w:eastAsia="方正仿宋_GBK" w:hAnsi="Times New Roman" w:cs="Times New Roman" w:hint="eastAsia"/>
          <w:sz w:val="32"/>
          <w:szCs w:val="32"/>
        </w:rPr>
        <w:lastRenderedPageBreak/>
        <w:t>专栏，在线如实填报相关申报信息后，通过系统下载打印《专业技术资格评审申报表》（一式三份）。网上申报时间为</w:t>
      </w:r>
      <w:r>
        <w:rPr>
          <w:rFonts w:ascii="Times New Roman" w:eastAsia="方正仿宋_GBK" w:hAnsi="Times New Roman" w:cs="Times New Roman" w:hint="eastAsia"/>
          <w:sz w:val="32"/>
          <w:szCs w:val="32"/>
        </w:rPr>
        <w:t>2025</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6</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15</w:t>
      </w:r>
      <w:r>
        <w:rPr>
          <w:rFonts w:ascii="Times New Roman" w:eastAsia="方正仿宋_GBK" w:hAnsi="Times New Roman" w:cs="Times New Roman" w:hint="eastAsia"/>
          <w:sz w:val="32"/>
          <w:szCs w:val="32"/>
        </w:rPr>
        <w:t>日至</w:t>
      </w:r>
      <w:r>
        <w:rPr>
          <w:rFonts w:ascii="Times New Roman" w:eastAsia="方正仿宋_GBK" w:hAnsi="Times New Roman" w:cs="Times New Roman" w:hint="eastAsia"/>
          <w:sz w:val="32"/>
          <w:szCs w:val="32"/>
        </w:rPr>
        <w:t>8</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20</w:t>
      </w:r>
      <w:r>
        <w:rPr>
          <w:rFonts w:ascii="Times New Roman" w:eastAsia="方正仿宋_GBK" w:hAnsi="Times New Roman" w:cs="Times New Roman" w:hint="eastAsia"/>
          <w:sz w:val="32"/>
          <w:szCs w:val="32"/>
        </w:rPr>
        <w:t>日，逾期无法申报和修改。</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方正楷体_GBK" w:eastAsia="方正楷体_GBK" w:cs="Times New Roman" w:hint="eastAsia"/>
          <w:sz w:val="32"/>
          <w:szCs w:val="32"/>
        </w:rPr>
        <w:t>（二）单位审核。</w:t>
      </w:r>
      <w:r>
        <w:rPr>
          <w:rFonts w:ascii="Times New Roman" w:eastAsia="方正仿宋_GBK" w:hAnsi="Times New Roman" w:cs="Times New Roman" w:hint="eastAsia"/>
          <w:sz w:val="32"/>
          <w:szCs w:val="32"/>
        </w:rPr>
        <w:t>申报人所在单位应当严肃审核推荐程序，组织专人审核申报人申报资格，以及申报材料的真实性、完整性和时效性，做到公开公平公正；要严格履行公示程序，做好评前公示工作，公示时间不少于</w:t>
      </w:r>
      <w:r>
        <w:rPr>
          <w:rFonts w:ascii="Times New Roman" w:eastAsia="方正仿宋_GBK" w:hAnsi="Times New Roman" w:cs="Times New Roman" w:hint="eastAsia"/>
          <w:sz w:val="32"/>
          <w:szCs w:val="32"/>
        </w:rPr>
        <w:t>5</w:t>
      </w:r>
      <w:r>
        <w:rPr>
          <w:rFonts w:ascii="Times New Roman" w:eastAsia="方正仿宋_GBK" w:hAnsi="Times New Roman" w:cs="Times New Roman" w:hint="eastAsia"/>
          <w:sz w:val="32"/>
          <w:szCs w:val="32"/>
        </w:rPr>
        <w:t>个工作日。</w:t>
      </w:r>
      <w:r>
        <w:rPr>
          <w:rFonts w:ascii="Times New Roman" w:eastAsia="方正仿宋_GBK" w:hAnsi="Times New Roman" w:cs="Times New Roman"/>
          <w:sz w:val="32"/>
          <w:szCs w:val="32"/>
        </w:rPr>
        <w:t>有以下违规行为的，</w:t>
      </w:r>
      <w:r>
        <w:rPr>
          <w:rFonts w:ascii="Times New Roman" w:eastAsia="方正仿宋_GBK" w:hAnsi="Times New Roman" w:cs="Times New Roman" w:hint="eastAsia"/>
          <w:sz w:val="32"/>
          <w:szCs w:val="32"/>
        </w:rPr>
        <w:t>对直接负责的主管人员和其他直接责任人员予以批评教育，并责令限期整改</w:t>
      </w:r>
      <w:r>
        <w:rPr>
          <w:rFonts w:ascii="Times New Roman" w:eastAsia="方正仿宋_GBK" w:hAnsi="Times New Roman" w:cs="Times New Roman"/>
          <w:sz w:val="32"/>
          <w:szCs w:val="32"/>
        </w:rPr>
        <w:t>：一是</w:t>
      </w:r>
      <w:r>
        <w:rPr>
          <w:rFonts w:ascii="Times New Roman" w:eastAsia="方正仿宋_GBK" w:hAnsi="Times New Roman" w:cs="Times New Roman" w:hint="eastAsia"/>
          <w:sz w:val="32"/>
          <w:szCs w:val="32"/>
        </w:rPr>
        <w:t>用人单位未按规定履行申报材料审核、推荐职责，放纵、包庇或者协助申报人弄虚作假</w:t>
      </w:r>
      <w:r>
        <w:rPr>
          <w:rFonts w:ascii="Times New Roman" w:eastAsia="方正仿宋_GBK" w:hAnsi="Times New Roman" w:cs="Times New Roman"/>
          <w:sz w:val="32"/>
          <w:szCs w:val="32"/>
        </w:rPr>
        <w:t>的</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二是</w:t>
      </w:r>
      <w:r>
        <w:rPr>
          <w:rFonts w:ascii="Times New Roman" w:eastAsia="方正仿宋_GBK" w:hAnsi="Times New Roman" w:cs="Times New Roman" w:hint="eastAsia"/>
          <w:sz w:val="32"/>
          <w:szCs w:val="32"/>
        </w:rPr>
        <w:t>未按规定进行申报材料公示、对公示有异议或者投诉举报问题未及时调查核实</w:t>
      </w:r>
      <w:r>
        <w:rPr>
          <w:rFonts w:ascii="Times New Roman" w:eastAsia="方正仿宋_GBK" w:hAnsi="Times New Roman" w:cs="Times New Roman"/>
          <w:sz w:val="32"/>
          <w:szCs w:val="32"/>
        </w:rPr>
        <w:t>的</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三是</w:t>
      </w:r>
      <w:r>
        <w:rPr>
          <w:rFonts w:ascii="Times New Roman" w:eastAsia="方正仿宋_GBK" w:hAnsi="Times New Roman" w:cs="Times New Roman" w:hint="eastAsia"/>
          <w:sz w:val="32"/>
          <w:szCs w:val="32"/>
        </w:rPr>
        <w:t>未按照职称评审管理权限及时上报申报材料</w:t>
      </w:r>
      <w:r>
        <w:rPr>
          <w:rFonts w:ascii="Times New Roman" w:eastAsia="方正仿宋_GBK" w:hAnsi="Times New Roman" w:cs="Times New Roman"/>
          <w:sz w:val="32"/>
          <w:szCs w:val="32"/>
        </w:rPr>
        <w:t>的；四是有</w:t>
      </w:r>
      <w:r>
        <w:rPr>
          <w:rFonts w:ascii="Times New Roman" w:eastAsia="方正仿宋_GBK" w:hAnsi="Times New Roman" w:cs="Times New Roman" w:hint="eastAsia"/>
          <w:sz w:val="32"/>
          <w:szCs w:val="32"/>
        </w:rPr>
        <w:t>其他违规行为的。</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方正楷体_GBK" w:eastAsia="方正楷体_GBK" w:cs="Times New Roman" w:hint="eastAsia"/>
          <w:sz w:val="32"/>
          <w:szCs w:val="32"/>
        </w:rPr>
        <w:t>（三）行业主管部门、人社部门复核</w:t>
      </w:r>
      <w:r>
        <w:rPr>
          <w:rFonts w:ascii="Times New Roman" w:eastAsia="方正仿宋_GBK" w:hAnsi="Times New Roman" w:cs="Times New Roman"/>
          <w:sz w:val="32"/>
          <w:szCs w:val="32"/>
        </w:rPr>
        <w:t>。</w:t>
      </w:r>
      <w:r>
        <w:rPr>
          <w:rFonts w:ascii="Times New Roman" w:eastAsia="方正仿宋_GBK" w:hAnsi="Times New Roman" w:cs="Times New Roman" w:hint="eastAsia"/>
          <w:sz w:val="32"/>
          <w:szCs w:val="32"/>
        </w:rPr>
        <w:t>各级市场监督管理部门、人力资源社会保障部门应当组织专人按规定的时间和程序对申报材料进行审核，符合申报条件的报送职称评审会办事机构；对申报材料不完整、不规范，不符合规定条件的，应当及时告知申报人员需要补正的全部内容。申报人员逾期未补充完整的，视为放弃申报。</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方正楷体_GBK" w:eastAsia="方正楷体_GBK" w:cs="Times New Roman" w:hint="eastAsia"/>
          <w:sz w:val="32"/>
          <w:szCs w:val="32"/>
        </w:rPr>
        <w:t>（四）评审会办事机构审核。</w:t>
      </w:r>
      <w:r>
        <w:rPr>
          <w:rFonts w:ascii="Times New Roman" w:eastAsia="方正仿宋_GBK" w:hAnsi="Times New Roman" w:cs="Times New Roman" w:hint="eastAsia"/>
          <w:sz w:val="32"/>
          <w:szCs w:val="32"/>
        </w:rPr>
        <w:t>对不符合申报条件和程序、超出评委会受理范围或未按规定办理委托评审手续报送的申报材料，按原报送渠道退回，并告知申报人。审核通过并拟提交评委</w:t>
      </w:r>
      <w:r>
        <w:rPr>
          <w:rFonts w:ascii="Times New Roman" w:eastAsia="方正仿宋_GBK" w:hAnsi="Times New Roman" w:cs="Times New Roman" w:hint="eastAsia"/>
          <w:sz w:val="32"/>
          <w:szCs w:val="32"/>
        </w:rPr>
        <w:lastRenderedPageBreak/>
        <w:t>会评审人员的基本信息将在</w:t>
      </w:r>
      <w:r>
        <w:rPr>
          <w:rFonts w:ascii="Times New Roman" w:eastAsia="方正仿宋_GBK" w:hAnsi="Times New Roman" w:cs="Times New Roman"/>
          <w:sz w:val="32"/>
          <w:szCs w:val="32"/>
        </w:rPr>
        <w:t>江苏</w:t>
      </w:r>
      <w:r>
        <w:rPr>
          <w:rFonts w:ascii="Times New Roman" w:eastAsia="方正仿宋_GBK" w:hAnsi="Times New Roman" w:cs="Times New Roman" w:hint="eastAsia"/>
          <w:sz w:val="32"/>
          <w:szCs w:val="32"/>
        </w:rPr>
        <w:t>省药品监督管理局网站进行公示，公示时间不少于</w:t>
      </w:r>
      <w:r>
        <w:rPr>
          <w:rFonts w:ascii="Times New Roman" w:eastAsia="方正仿宋_GBK" w:hAnsi="Times New Roman" w:cs="Times New Roman" w:hint="eastAsia"/>
          <w:sz w:val="32"/>
          <w:szCs w:val="32"/>
        </w:rPr>
        <w:t>5</w:t>
      </w:r>
      <w:r>
        <w:rPr>
          <w:rFonts w:ascii="Times New Roman" w:eastAsia="方正仿宋_GBK" w:hAnsi="Times New Roman" w:cs="Times New Roman" w:hint="eastAsia"/>
          <w:sz w:val="32"/>
          <w:szCs w:val="32"/>
        </w:rPr>
        <w:t>个工作日。</w:t>
      </w:r>
    </w:p>
    <w:p w:rsidR="00C629F8" w:rsidRDefault="002135F8">
      <w:pPr>
        <w:adjustRightInd w:val="0"/>
        <w:snapToGrid w:val="0"/>
        <w:spacing w:line="590" w:lineRule="exact"/>
        <w:ind w:firstLineChars="200" w:firstLine="640"/>
        <w:rPr>
          <w:rFonts w:ascii="Times New Roman" w:eastAsia="方正黑体_GBK" w:hAnsi="Times New Roman" w:cs="Times New Roman"/>
          <w:sz w:val="32"/>
          <w:szCs w:val="32"/>
        </w:rPr>
      </w:pPr>
      <w:r>
        <w:rPr>
          <w:rFonts w:ascii="Times New Roman" w:eastAsia="方正黑体_GBK" w:hAnsi="Times New Roman" w:cs="Times New Roman"/>
          <w:sz w:val="32"/>
          <w:szCs w:val="32"/>
        </w:rPr>
        <w:t>五、材料报送</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（一）《专业技术资格评审申报表》纸质版一式三份，按要求签字盖章后，与附件材料一并上报。</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（二）附件材料目录详见附件</w:t>
      </w:r>
      <w:r>
        <w:rPr>
          <w:rFonts w:ascii="Times New Roman" w:eastAsia="方正仿宋_GBK" w:hAnsi="Times New Roman" w:cs="Times New Roman"/>
          <w:sz w:val="32"/>
          <w:szCs w:val="32"/>
        </w:rPr>
        <w:t>1</w:t>
      </w:r>
      <w:r>
        <w:rPr>
          <w:rFonts w:ascii="Times New Roman" w:eastAsia="方正仿宋_GBK" w:hAnsi="Times New Roman" w:cs="Times New Roman"/>
          <w:sz w:val="32"/>
          <w:szCs w:val="32"/>
        </w:rPr>
        <w:t>。除</w:t>
      </w:r>
      <w:r>
        <w:rPr>
          <w:rFonts w:ascii="Times New Roman" w:eastAsia="方正仿宋_GBK" w:hAnsi="Times New Roman" w:cs="Times New Roman"/>
          <w:sz w:val="32"/>
          <w:szCs w:val="32"/>
        </w:rPr>
        <w:t>1-3</w:t>
      </w:r>
      <w:r>
        <w:rPr>
          <w:rFonts w:ascii="Times New Roman" w:eastAsia="方正仿宋_GBK" w:hAnsi="Times New Roman" w:cs="Times New Roman"/>
          <w:sz w:val="32"/>
          <w:szCs w:val="32"/>
        </w:rPr>
        <w:t>项不需装订外，其余材料均按照目录顺序装订成册。申报材料一人一个档案袋，并将附件</w:t>
      </w:r>
      <w:r>
        <w:rPr>
          <w:rFonts w:ascii="Times New Roman" w:eastAsia="方正仿宋_GBK" w:hAnsi="Times New Roman" w:cs="Times New Roman" w:hint="eastAsia"/>
          <w:sz w:val="32"/>
          <w:szCs w:val="32"/>
        </w:rPr>
        <w:t>1</w:t>
      </w:r>
      <w:r>
        <w:rPr>
          <w:rFonts w:ascii="Times New Roman" w:eastAsia="方正仿宋_GBK" w:hAnsi="Times New Roman" w:cs="Times New Roman"/>
          <w:sz w:val="32"/>
          <w:szCs w:val="32"/>
        </w:rPr>
        <w:t>粘贴在档案袋封面上。学历学位、职称等证书材料不收原件，各类材料复印件一律采用标准</w:t>
      </w:r>
      <w:r>
        <w:rPr>
          <w:rFonts w:ascii="Times New Roman" w:eastAsia="方正仿宋_GBK" w:hAnsi="Times New Roman" w:cs="Times New Roman"/>
          <w:sz w:val="32"/>
          <w:szCs w:val="32"/>
        </w:rPr>
        <w:t>A4</w:t>
      </w:r>
      <w:r>
        <w:rPr>
          <w:rFonts w:ascii="Times New Roman" w:eastAsia="方正仿宋_GBK" w:hAnsi="Times New Roman" w:cs="Times New Roman"/>
          <w:sz w:val="32"/>
          <w:szCs w:val="32"/>
        </w:rPr>
        <w:t>纸，加盖公章并由经办人签名、注明审核日期。其中，《江苏省</w:t>
      </w:r>
      <w:r>
        <w:rPr>
          <w:rFonts w:ascii="Times New Roman" w:eastAsia="方正仿宋_GBK" w:hAnsi="Times New Roman" w:cs="Times New Roman" w:hint="eastAsia"/>
          <w:sz w:val="32"/>
          <w:szCs w:val="32"/>
        </w:rPr>
        <w:t>生物</w:t>
      </w:r>
      <w:r>
        <w:rPr>
          <w:rFonts w:ascii="Times New Roman" w:eastAsia="方正仿宋_GBK" w:hAnsi="Times New Roman" w:cs="Times New Roman"/>
          <w:sz w:val="32"/>
          <w:szCs w:val="32"/>
        </w:rPr>
        <w:t>医药工程高（中）级专业技术资格评审申报人员情况简介表》（附件</w:t>
      </w:r>
      <w:r>
        <w:rPr>
          <w:rFonts w:ascii="Times New Roman" w:eastAsia="方正仿宋_GBK" w:hAnsi="Times New Roman" w:cs="Times New Roman" w:hint="eastAsia"/>
          <w:sz w:val="32"/>
          <w:szCs w:val="32"/>
        </w:rPr>
        <w:t>2</w:t>
      </w:r>
      <w:r>
        <w:rPr>
          <w:rFonts w:ascii="Times New Roman" w:eastAsia="方正仿宋_GBK" w:hAnsi="Times New Roman" w:cs="Times New Roman"/>
          <w:sz w:val="32"/>
          <w:szCs w:val="32"/>
        </w:rPr>
        <w:t>）一律采用标准</w:t>
      </w:r>
      <w:r>
        <w:rPr>
          <w:rFonts w:ascii="Times New Roman" w:eastAsia="方正仿宋_GBK" w:hAnsi="Times New Roman" w:cs="Times New Roman"/>
          <w:sz w:val="32"/>
          <w:szCs w:val="32"/>
        </w:rPr>
        <w:t>A3</w:t>
      </w:r>
      <w:r>
        <w:rPr>
          <w:rFonts w:ascii="Times New Roman" w:eastAsia="方正仿宋_GBK" w:hAnsi="Times New Roman" w:cs="Times New Roman"/>
          <w:sz w:val="32"/>
          <w:szCs w:val="32"/>
        </w:rPr>
        <w:t>纸型打印或填写。</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（三）各报送单位须提供加盖公章的《</w:t>
      </w:r>
      <w:r>
        <w:rPr>
          <w:rFonts w:ascii="Times New Roman" w:eastAsia="方正仿宋_GBK" w:hAnsi="Times New Roman" w:cs="Times New Roman"/>
          <w:sz w:val="32"/>
          <w:szCs w:val="32"/>
        </w:rPr>
        <w:t>20</w:t>
      </w:r>
      <w:r>
        <w:rPr>
          <w:rFonts w:ascii="Times New Roman" w:eastAsia="方正仿宋_GBK" w:hAnsi="Times New Roman" w:cs="Times New Roman" w:hint="eastAsia"/>
          <w:sz w:val="32"/>
          <w:szCs w:val="32"/>
        </w:rPr>
        <w:t>25</w:t>
      </w:r>
      <w:r>
        <w:rPr>
          <w:rFonts w:ascii="Times New Roman" w:eastAsia="方正仿宋_GBK" w:hAnsi="Times New Roman" w:cs="Times New Roman"/>
          <w:sz w:val="32"/>
          <w:szCs w:val="32"/>
        </w:rPr>
        <w:t>年江苏省</w:t>
      </w:r>
      <w:r>
        <w:rPr>
          <w:rFonts w:ascii="Times New Roman" w:eastAsia="方正仿宋_GBK" w:hAnsi="Times New Roman" w:cs="Times New Roman" w:hint="eastAsia"/>
          <w:sz w:val="32"/>
          <w:szCs w:val="32"/>
        </w:rPr>
        <w:t>生物</w:t>
      </w:r>
      <w:r>
        <w:rPr>
          <w:rFonts w:ascii="Times New Roman" w:eastAsia="方正仿宋_GBK" w:hAnsi="Times New Roman" w:cs="Times New Roman"/>
          <w:sz w:val="32"/>
          <w:szCs w:val="32"/>
        </w:rPr>
        <w:t>医药工程高（中）级专业技术资格评审申报人员名册》（附件</w:t>
      </w:r>
      <w:r>
        <w:rPr>
          <w:rFonts w:ascii="Times New Roman" w:eastAsia="方正仿宋_GBK" w:hAnsi="Times New Roman" w:cs="Times New Roman"/>
          <w:sz w:val="32"/>
          <w:szCs w:val="32"/>
        </w:rPr>
        <w:t>3</w:t>
      </w:r>
      <w:r>
        <w:rPr>
          <w:rFonts w:ascii="Times New Roman" w:eastAsia="方正仿宋_GBK" w:hAnsi="Times New Roman" w:cs="Times New Roman"/>
          <w:sz w:val="32"/>
          <w:szCs w:val="32"/>
        </w:rPr>
        <w:t>）一份，同时</w:t>
      </w:r>
      <w:r>
        <w:rPr>
          <w:rFonts w:ascii="Times New Roman" w:eastAsia="方正仿宋_GBK" w:hAnsi="Times New Roman" w:cs="Times New Roman" w:hint="eastAsia"/>
          <w:sz w:val="32"/>
          <w:szCs w:val="32"/>
        </w:rPr>
        <w:t>报送</w:t>
      </w:r>
      <w:r>
        <w:rPr>
          <w:rFonts w:ascii="Times New Roman" w:eastAsia="方正仿宋_GBK" w:hAnsi="Times New Roman" w:cs="Times New Roman"/>
          <w:sz w:val="32"/>
          <w:szCs w:val="32"/>
        </w:rPr>
        <w:t>Excel</w:t>
      </w:r>
      <w:r>
        <w:rPr>
          <w:rFonts w:ascii="Times New Roman" w:eastAsia="方正仿宋_GBK" w:hAnsi="Times New Roman" w:cs="Times New Roman" w:hint="eastAsia"/>
          <w:sz w:val="32"/>
          <w:szCs w:val="32"/>
        </w:rPr>
        <w:t>格式</w:t>
      </w:r>
      <w:r>
        <w:rPr>
          <w:rFonts w:ascii="Times New Roman" w:eastAsia="方正仿宋_GBK" w:hAnsi="Times New Roman" w:cs="Times New Roman"/>
          <w:sz w:val="32"/>
          <w:szCs w:val="32"/>
        </w:rPr>
        <w:t>电子版。</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（四）各设区市市场监督管理局人事部门负责本地区申报材料的汇总和报送工作，省药品监督管理局直属单位和省有关单位的申报材料直接报送省药品监督管理局人事教育处。</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（五）申报材料报送截止时间为</w:t>
      </w:r>
      <w:r>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9</w:t>
      </w:r>
      <w:r>
        <w:rPr>
          <w:rFonts w:ascii="Times New Roman" w:eastAsia="方正仿宋_GBK" w:hAnsi="Times New Roman" w:cs="Times New Roman"/>
          <w:sz w:val="32"/>
          <w:szCs w:val="32"/>
        </w:rPr>
        <w:t>月</w:t>
      </w:r>
      <w:r>
        <w:rPr>
          <w:rFonts w:ascii="Times New Roman" w:eastAsia="方正仿宋_GBK" w:hAnsi="Times New Roman" w:cs="Times New Roman" w:hint="eastAsia"/>
          <w:sz w:val="32"/>
          <w:szCs w:val="32"/>
        </w:rPr>
        <w:t>15</w:t>
      </w:r>
      <w:r>
        <w:rPr>
          <w:rFonts w:ascii="Times New Roman" w:eastAsia="方正仿宋_GBK" w:hAnsi="Times New Roman" w:cs="Times New Roman"/>
          <w:sz w:val="32"/>
          <w:szCs w:val="32"/>
        </w:rPr>
        <w:t>日，逾期不予受理。报送地址：江苏省药品监督管理局人事教育处（南京市鼓楼区鼓楼街</w:t>
      </w:r>
      <w:r>
        <w:rPr>
          <w:rFonts w:ascii="Times New Roman" w:eastAsia="方正仿宋_GBK" w:hAnsi="Times New Roman" w:cs="Times New Roman"/>
          <w:sz w:val="32"/>
          <w:szCs w:val="32"/>
        </w:rPr>
        <w:t>5</w:t>
      </w:r>
      <w:r>
        <w:rPr>
          <w:rFonts w:ascii="Times New Roman" w:eastAsia="方正仿宋_GBK" w:hAnsi="Times New Roman" w:cs="Times New Roman"/>
          <w:sz w:val="32"/>
          <w:szCs w:val="32"/>
        </w:rPr>
        <w:t>号），联系人：刘侠，联系电话</w:t>
      </w:r>
      <w:r>
        <w:rPr>
          <w:rFonts w:ascii="Times New Roman" w:eastAsia="方正仿宋_GBK" w:hAnsi="Times New Roman" w:cs="Times New Roman" w:hint="eastAsia"/>
          <w:sz w:val="32"/>
          <w:szCs w:val="32"/>
        </w:rPr>
        <w:t>：</w:t>
      </w:r>
      <w:r>
        <w:rPr>
          <w:rFonts w:ascii="Times New Roman" w:eastAsia="方正仿宋_GBK" w:hAnsi="Times New Roman" w:cs="Times New Roman"/>
          <w:sz w:val="32"/>
          <w:szCs w:val="32"/>
        </w:rPr>
        <w:t>025-83273651</w:t>
      </w:r>
      <w:r>
        <w:rPr>
          <w:rFonts w:ascii="Times New Roman" w:eastAsia="方正仿宋_GBK" w:hAnsi="Times New Roman" w:cs="Times New Roman"/>
          <w:sz w:val="32"/>
          <w:szCs w:val="32"/>
        </w:rPr>
        <w:t>。</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请各单位按照要求，认真做好</w:t>
      </w:r>
      <w:r>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生物</w:t>
      </w:r>
      <w:r>
        <w:rPr>
          <w:rFonts w:ascii="Times New Roman" w:eastAsia="方正仿宋_GBK" w:hAnsi="Times New Roman" w:cs="Times New Roman"/>
          <w:sz w:val="32"/>
          <w:szCs w:val="32"/>
        </w:rPr>
        <w:t>医药工程专业技</w:t>
      </w:r>
      <w:r>
        <w:rPr>
          <w:rFonts w:ascii="Times New Roman" w:eastAsia="方正仿宋_GBK" w:hAnsi="Times New Roman" w:cs="Times New Roman"/>
          <w:sz w:val="32"/>
          <w:szCs w:val="32"/>
        </w:rPr>
        <w:lastRenderedPageBreak/>
        <w:t>术资格评审的宣传和组织工作。</w:t>
      </w:r>
      <w:r>
        <w:rPr>
          <w:rFonts w:ascii="Times New Roman" w:eastAsia="方正仿宋_GBK" w:hAnsi="Times New Roman" w:cs="Times New Roman" w:hint="eastAsia"/>
          <w:sz w:val="32"/>
          <w:szCs w:val="32"/>
        </w:rPr>
        <w:t>本通知及附件可登陆江苏省药品监督管理局网站下载。</w:t>
      </w:r>
    </w:p>
    <w:p w:rsidR="00C629F8" w:rsidRDefault="00C629F8">
      <w:pPr>
        <w:adjustRightInd w:val="0"/>
        <w:snapToGrid w:val="0"/>
        <w:spacing w:line="590" w:lineRule="exact"/>
        <w:ind w:firstLineChars="200" w:firstLine="640"/>
        <w:rPr>
          <w:rFonts w:ascii="Times New Roman" w:eastAsia="方正仿宋_GBK" w:hAnsi="Times New Roman" w:cs="Times New Roman"/>
          <w:sz w:val="32"/>
          <w:szCs w:val="32"/>
        </w:rPr>
      </w:pP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附件</w:t>
      </w: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1.</w:t>
      </w:r>
      <w:r>
        <w:rPr>
          <w:rFonts w:ascii="Times New Roman" w:eastAsia="方正仿宋_GBK" w:hAnsi="Times New Roman" w:cs="Times New Roman"/>
          <w:sz w:val="32"/>
          <w:szCs w:val="32"/>
        </w:rPr>
        <w:t>申报</w:t>
      </w:r>
      <w:r>
        <w:rPr>
          <w:rFonts w:ascii="Times New Roman" w:eastAsia="方正仿宋_GBK" w:hAnsi="Times New Roman" w:cs="Times New Roman" w:hint="eastAsia"/>
          <w:sz w:val="32"/>
          <w:szCs w:val="32"/>
        </w:rPr>
        <w:t>生物</w:t>
      </w:r>
      <w:r>
        <w:rPr>
          <w:rFonts w:ascii="Times New Roman" w:eastAsia="方正仿宋_GBK" w:hAnsi="Times New Roman" w:cs="Times New Roman"/>
          <w:sz w:val="32"/>
          <w:szCs w:val="32"/>
        </w:rPr>
        <w:t>医药工程专业技术资格材料目录</w:t>
      </w:r>
    </w:p>
    <w:p w:rsidR="00C629F8" w:rsidRDefault="002135F8">
      <w:pPr>
        <w:adjustRightInd w:val="0"/>
        <w:snapToGrid w:val="0"/>
        <w:spacing w:line="590" w:lineRule="exact"/>
        <w:ind w:leftChars="380" w:left="1758" w:hangingChars="300" w:hanging="960"/>
        <w:rPr>
          <w:rFonts w:ascii="Times New Roman" w:eastAsia="方正仿宋_GBK" w:hAnsi="Times New Roman" w:cs="Times New Roman"/>
          <w:sz w:val="32"/>
          <w:szCs w:val="32"/>
        </w:rPr>
      </w:pPr>
      <w:r>
        <w:rPr>
          <w:rFonts w:ascii="Times New Roman" w:eastAsia="方正仿宋_GBK" w:hAnsi="Times New Roman" w:cs="Times New Roman"/>
          <w:sz w:val="32"/>
          <w:szCs w:val="32"/>
        </w:rPr>
        <w:t xml:space="preserve">     </w:t>
      </w:r>
      <w:r>
        <w:rPr>
          <w:rFonts w:ascii="Times New Roman" w:eastAsia="方正仿宋_GBK" w:hAnsi="Times New Roman" w:cs="Times New Roman" w:hint="eastAsia"/>
          <w:sz w:val="32"/>
          <w:szCs w:val="32"/>
        </w:rPr>
        <w:t>2.</w:t>
      </w:r>
      <w:r>
        <w:rPr>
          <w:rFonts w:ascii="Times New Roman" w:eastAsia="方正仿宋_GBK" w:hAnsi="Times New Roman" w:cs="Times New Roman"/>
          <w:sz w:val="32"/>
          <w:szCs w:val="32"/>
        </w:rPr>
        <w:t>江苏省</w:t>
      </w:r>
      <w:r>
        <w:rPr>
          <w:rFonts w:ascii="Times New Roman" w:eastAsia="方正仿宋_GBK" w:hAnsi="Times New Roman" w:cs="Times New Roman" w:hint="eastAsia"/>
          <w:sz w:val="32"/>
          <w:szCs w:val="32"/>
        </w:rPr>
        <w:t>生</w:t>
      </w:r>
      <w:r>
        <w:rPr>
          <w:rFonts w:ascii="Times New Roman" w:eastAsia="方正仿宋_GBK" w:hAnsi="Times New Roman" w:cs="Times New Roman"/>
          <w:sz w:val="32"/>
          <w:szCs w:val="32"/>
        </w:rPr>
        <w:t>物医药工程高（中）级专业技术资格</w:t>
      </w:r>
      <w:bookmarkStart w:id="0" w:name="OLE_LINK1"/>
      <w:r>
        <w:rPr>
          <w:rFonts w:ascii="Times New Roman" w:eastAsia="方正仿宋_GBK" w:hAnsi="Times New Roman" w:cs="Times New Roman"/>
          <w:sz w:val="32"/>
          <w:szCs w:val="32"/>
        </w:rPr>
        <w:t>评审</w:t>
      </w:r>
      <w:bookmarkEnd w:id="0"/>
      <w:r>
        <w:rPr>
          <w:rFonts w:ascii="Times New Roman" w:eastAsia="方正仿宋_GBK" w:hAnsi="Times New Roman" w:cs="Times New Roman"/>
          <w:sz w:val="32"/>
          <w:szCs w:val="32"/>
        </w:rPr>
        <w:t>申报人员情况简介表</w:t>
      </w:r>
    </w:p>
    <w:p w:rsidR="00C629F8" w:rsidRDefault="002135F8">
      <w:pPr>
        <w:adjustRightInd w:val="0"/>
        <w:snapToGrid w:val="0"/>
        <w:spacing w:line="590" w:lineRule="exact"/>
        <w:ind w:leftChars="760" w:left="1756" w:hangingChars="50" w:hanging="16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3.</w:t>
      </w:r>
      <w:r>
        <w:rPr>
          <w:rFonts w:ascii="Times New Roman" w:eastAsia="方正仿宋_GBK" w:hAnsi="Times New Roman" w:cs="Times New Roman"/>
          <w:sz w:val="32"/>
          <w:szCs w:val="32"/>
        </w:rPr>
        <w:t>202</w:t>
      </w:r>
      <w:r>
        <w:rPr>
          <w:rFonts w:ascii="Times New Roman" w:eastAsia="方正仿宋_GBK" w:hAnsi="Times New Roman" w:cs="Times New Roman" w:hint="eastAsia"/>
          <w:sz w:val="32"/>
          <w:szCs w:val="32"/>
        </w:rPr>
        <w:t>5</w:t>
      </w:r>
      <w:r>
        <w:rPr>
          <w:rFonts w:ascii="Times New Roman" w:eastAsia="方正仿宋_GBK" w:hAnsi="Times New Roman" w:cs="Times New Roman"/>
          <w:sz w:val="32"/>
          <w:szCs w:val="32"/>
        </w:rPr>
        <w:t>年江苏省</w:t>
      </w:r>
      <w:r>
        <w:rPr>
          <w:rFonts w:ascii="Times New Roman" w:eastAsia="方正仿宋_GBK" w:hAnsi="Times New Roman" w:cs="Times New Roman" w:hint="eastAsia"/>
          <w:sz w:val="32"/>
          <w:szCs w:val="32"/>
        </w:rPr>
        <w:t>生物</w:t>
      </w:r>
      <w:r>
        <w:rPr>
          <w:rFonts w:ascii="Times New Roman" w:eastAsia="方正仿宋_GBK" w:hAnsi="Times New Roman" w:cs="Times New Roman"/>
          <w:sz w:val="32"/>
          <w:szCs w:val="32"/>
        </w:rPr>
        <w:t>医药工程高（中）级专业技术资格评审申报人员名册</w:t>
      </w:r>
    </w:p>
    <w:p w:rsidR="00C629F8" w:rsidRDefault="00C629F8">
      <w:pPr>
        <w:adjustRightInd w:val="0"/>
        <w:snapToGrid w:val="0"/>
        <w:spacing w:line="590" w:lineRule="exact"/>
        <w:ind w:firstLineChars="200" w:firstLine="640"/>
        <w:rPr>
          <w:rFonts w:ascii="Times New Roman" w:eastAsia="方正仿宋_GBK" w:hAnsi="Times New Roman" w:cs="Times New Roman"/>
          <w:sz w:val="32"/>
          <w:szCs w:val="32"/>
        </w:rPr>
      </w:pPr>
    </w:p>
    <w:p w:rsidR="00C629F8" w:rsidRDefault="00C629F8">
      <w:pPr>
        <w:adjustRightInd w:val="0"/>
        <w:snapToGrid w:val="0"/>
        <w:spacing w:line="590" w:lineRule="exact"/>
        <w:ind w:firstLineChars="200" w:firstLine="640"/>
        <w:rPr>
          <w:rFonts w:ascii="Times New Roman" w:eastAsia="方正仿宋_GBK" w:hAnsi="Times New Roman" w:cs="Times New Roman"/>
          <w:sz w:val="32"/>
          <w:szCs w:val="32"/>
        </w:rPr>
      </w:pPr>
    </w:p>
    <w:p w:rsidR="00C629F8" w:rsidRDefault="002135F8">
      <w:pPr>
        <w:adjustRightInd w:val="0"/>
        <w:snapToGrid w:val="0"/>
        <w:spacing w:line="590" w:lineRule="exact"/>
        <w:ind w:firstLineChars="200" w:firstLine="560"/>
        <w:rPr>
          <w:rFonts w:ascii="方正仿宋_GBK" w:eastAsia="方正仿宋_GBK" w:cs="方正仿宋_GBK"/>
          <w:spacing w:val="-20"/>
          <w:sz w:val="32"/>
          <w:szCs w:val="32"/>
        </w:rPr>
      </w:pPr>
      <w:r>
        <w:rPr>
          <w:rFonts w:ascii="Times New Roman" w:eastAsia="方正仿宋_GBK" w:hAnsi="Times New Roman" w:cs="Times New Roman"/>
          <w:spacing w:val="-20"/>
          <w:sz w:val="32"/>
          <w:szCs w:val="32"/>
        </w:rPr>
        <w:t xml:space="preserve">                      </w:t>
      </w:r>
      <w:r>
        <w:rPr>
          <w:rFonts w:ascii="Times New Roman" w:eastAsia="方正仿宋_GBK" w:hAnsi="Times New Roman" w:cs="Times New Roman"/>
          <w:sz w:val="32"/>
          <w:szCs w:val="32"/>
        </w:rPr>
        <w:t xml:space="preserve">         </w:t>
      </w:r>
      <w:r>
        <w:rPr>
          <w:rFonts w:ascii="方正仿宋_GBK" w:eastAsia="方正仿宋_GBK" w:cs="方正仿宋_GBK" w:hint="eastAsia"/>
          <w:sz w:val="32"/>
          <w:szCs w:val="32"/>
        </w:rPr>
        <w:t>江苏省药品监督管理局</w:t>
      </w:r>
    </w:p>
    <w:p w:rsidR="00C629F8" w:rsidRDefault="002135F8">
      <w:pPr>
        <w:adjustRightInd w:val="0"/>
        <w:snapToGrid w:val="0"/>
        <w:spacing w:line="590" w:lineRule="exact"/>
        <w:ind w:firstLineChars="200" w:firstLine="640"/>
        <w:rPr>
          <w:rFonts w:ascii="Times New Roman" w:eastAsia="方正仿宋_GBK" w:hAnsi="Times New Roman" w:cs="Times New Roman"/>
          <w:sz w:val="32"/>
          <w:szCs w:val="32"/>
        </w:rPr>
      </w:pPr>
      <w:r>
        <w:rPr>
          <w:rFonts w:ascii="方正仿宋_GBK" w:eastAsia="方正仿宋_GBK" w:cs="方正仿宋_GBK"/>
          <w:sz w:val="32"/>
          <w:szCs w:val="32"/>
        </w:rPr>
        <w:t xml:space="preserve">                          </w:t>
      </w:r>
      <w:r>
        <w:rPr>
          <w:rFonts w:ascii="Times New Roman" w:eastAsia="方正仿宋_GBK" w:hAnsi="Times New Roman" w:cs="Times New Roman"/>
          <w:sz w:val="32"/>
          <w:szCs w:val="32"/>
        </w:rPr>
        <w:t xml:space="preserve"> 2025</w:t>
      </w:r>
      <w:r>
        <w:rPr>
          <w:rFonts w:ascii="Times New Roman" w:eastAsia="方正仿宋_GBK" w:hAnsi="Times New Roman" w:cs="Times New Roman"/>
          <w:sz w:val="32"/>
          <w:szCs w:val="32"/>
        </w:rPr>
        <w:t>年</w:t>
      </w:r>
      <w:r>
        <w:rPr>
          <w:rFonts w:ascii="Times New Roman" w:eastAsia="方正仿宋_GBK" w:hAnsi="Times New Roman" w:cs="Times New Roman"/>
          <w:sz w:val="32"/>
          <w:szCs w:val="32"/>
        </w:rPr>
        <w:t xml:space="preserve"> 5</w:t>
      </w:r>
      <w:r>
        <w:rPr>
          <w:rFonts w:ascii="Times New Roman" w:eastAsia="方正仿宋_GBK" w:hAnsi="Times New Roman" w:cs="Times New Roman"/>
          <w:sz w:val="32"/>
          <w:szCs w:val="32"/>
        </w:rPr>
        <w:t>月</w:t>
      </w:r>
      <w:r>
        <w:rPr>
          <w:rFonts w:ascii="Times New Roman" w:eastAsia="方正仿宋_GBK" w:hAnsi="Times New Roman" w:cs="Times New Roman" w:hint="eastAsia"/>
          <w:sz w:val="32"/>
          <w:szCs w:val="32"/>
        </w:rPr>
        <w:t>15</w:t>
      </w:r>
      <w:r>
        <w:rPr>
          <w:rFonts w:ascii="Times New Roman" w:eastAsia="方正仿宋_GBK" w:hAnsi="Times New Roman" w:cs="Times New Roman"/>
          <w:sz w:val="32"/>
          <w:szCs w:val="32"/>
        </w:rPr>
        <w:t>日</w:t>
      </w:r>
    </w:p>
    <w:p w:rsidR="00C629F8" w:rsidRDefault="002135F8">
      <w:pPr>
        <w:adjustRightInd w:val="0"/>
        <w:snapToGrid w:val="0"/>
        <w:spacing w:line="590" w:lineRule="exact"/>
        <w:ind w:firstLineChars="200" w:firstLine="640"/>
        <w:rPr>
          <w:rFonts w:ascii="Times New Roman" w:hAnsi="Times New Roman" w:cs="Times New Roman"/>
          <w:szCs w:val="24"/>
        </w:rPr>
      </w:pPr>
      <w:r>
        <w:rPr>
          <w:rFonts w:ascii="Times New Roman" w:eastAsia="方正仿宋_GBK" w:hAnsi="Times New Roman" w:cs="Times New Roman"/>
          <w:sz w:val="32"/>
          <w:szCs w:val="32"/>
        </w:rPr>
        <w:t>（公开属性：</w:t>
      </w:r>
      <w:r>
        <w:rPr>
          <w:rFonts w:ascii="Times New Roman" w:eastAsia="方正仿宋_GBK" w:hAnsi="Times New Roman" w:cs="Times New Roman" w:hint="eastAsia"/>
          <w:sz w:val="32"/>
          <w:szCs w:val="32"/>
        </w:rPr>
        <w:t>主动</w:t>
      </w:r>
      <w:r>
        <w:rPr>
          <w:rFonts w:ascii="Times New Roman" w:eastAsia="方正仿宋_GBK" w:hAnsi="Times New Roman" w:cs="Times New Roman"/>
          <w:sz w:val="32"/>
          <w:szCs w:val="32"/>
        </w:rPr>
        <w:t>公开）</w:t>
      </w:r>
    </w:p>
    <w:p w:rsidR="00C629F8" w:rsidRDefault="00C629F8">
      <w:pPr>
        <w:adjustRightInd w:val="0"/>
        <w:snapToGrid w:val="0"/>
        <w:spacing w:line="590" w:lineRule="exact"/>
        <w:rPr>
          <w:rFonts w:ascii="Times New Roman" w:eastAsia="方正仿宋_GBK" w:hAnsi="Times New Roman" w:cs="Times New Roman"/>
          <w:sz w:val="32"/>
          <w:szCs w:val="24"/>
        </w:rPr>
      </w:pPr>
    </w:p>
    <w:p w:rsidR="00C629F8" w:rsidRDefault="00C629F8">
      <w:pPr>
        <w:rPr>
          <w:rFonts w:ascii="Times New Roman" w:eastAsia="方正仿宋_GBK" w:hAnsi="Times New Roman" w:cs="Times New Roman"/>
          <w:sz w:val="32"/>
          <w:szCs w:val="24"/>
        </w:rPr>
      </w:pPr>
    </w:p>
    <w:p w:rsidR="00C629F8" w:rsidRDefault="00C629F8">
      <w:pPr>
        <w:rPr>
          <w:rFonts w:ascii="Times New Roman" w:eastAsia="方正仿宋_GBK" w:hAnsi="Times New Roman" w:cs="Times New Roman"/>
          <w:sz w:val="32"/>
          <w:szCs w:val="24"/>
        </w:rPr>
      </w:pPr>
    </w:p>
    <w:p w:rsidR="00C629F8" w:rsidRDefault="00C629F8">
      <w:pPr>
        <w:adjustRightInd w:val="0"/>
        <w:snapToGrid w:val="0"/>
        <w:spacing w:before="156" w:line="400" w:lineRule="atLeast"/>
        <w:rPr>
          <w:rFonts w:ascii="Times New Roman" w:eastAsia="方正仿宋_GBK" w:hAnsi="Times New Roman" w:cs="Times New Roman"/>
          <w:sz w:val="32"/>
          <w:szCs w:val="24"/>
        </w:rPr>
      </w:pPr>
    </w:p>
    <w:p w:rsidR="00C629F8" w:rsidRDefault="00C629F8">
      <w:pPr>
        <w:adjustRightInd w:val="0"/>
        <w:snapToGrid w:val="0"/>
        <w:spacing w:before="156" w:line="400" w:lineRule="atLeast"/>
        <w:rPr>
          <w:rFonts w:ascii="Times New Roman" w:hAnsi="Times New Roman" w:cs="Times New Roman"/>
          <w:b/>
          <w:sz w:val="28"/>
          <w:szCs w:val="28"/>
        </w:rPr>
      </w:pPr>
    </w:p>
    <w:p w:rsidR="00C629F8" w:rsidRDefault="00C629F8">
      <w:pPr>
        <w:rPr>
          <w:rFonts w:ascii="Times New Roman" w:hAnsi="Times New Roman" w:cs="Times New Roman"/>
          <w:b/>
          <w:sz w:val="28"/>
          <w:szCs w:val="28"/>
        </w:rPr>
      </w:pPr>
    </w:p>
    <w:p w:rsidR="00F00D9A" w:rsidRDefault="002135F8" w:rsidP="00F00D9A">
      <w:pPr>
        <w:rPr>
          <w:rFonts w:ascii="方正仿宋_GBK" w:eastAsia="方正仿宋_GBK" w:cs="Times New Roman" w:hint="eastAsia"/>
          <w:sz w:val="32"/>
          <w:szCs w:val="24"/>
        </w:rPr>
      </w:pPr>
      <w:r>
        <w:rPr>
          <w:rFonts w:ascii="方正仿宋_GBK" w:eastAsia="方正仿宋_GBK" w:cs="Times New Roman" w:hint="eastAsia"/>
          <w:sz w:val="32"/>
          <w:szCs w:val="24"/>
        </w:rPr>
        <w:br w:type="page"/>
      </w: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F00D9A" w:rsidRDefault="00F00D9A" w:rsidP="00F00D9A">
      <w:pPr>
        <w:rPr>
          <w:rFonts w:ascii="方正仿宋_GBK" w:eastAsia="方正仿宋_GBK" w:cs="Times New Roman" w:hint="eastAsia"/>
          <w:sz w:val="32"/>
          <w:szCs w:val="24"/>
        </w:rPr>
      </w:pPr>
    </w:p>
    <w:p w:rsidR="00C629F8" w:rsidRDefault="00F00D9A" w:rsidP="00F00D9A">
      <w:pPr>
        <w:rPr>
          <w:rFonts w:ascii="Times New Roman" w:hAnsi="Times New Roman" w:cs="Times New Roman"/>
          <w:szCs w:val="24"/>
        </w:rPr>
      </w:pPr>
      <w:bookmarkStart w:id="1" w:name="_GoBack"/>
      <w:bookmarkEnd w:id="1"/>
      <w:r>
        <w:rPr>
          <w:rFonts w:ascii="Times New Roman" w:hAnsi="Times New Roman" w:cs="Times New Roman"/>
          <w:szCs w:val="24"/>
        </w:rPr>
        <w:t xml:space="preserve"> </w:t>
      </w:r>
    </w:p>
    <w:p w:rsidR="00C629F8" w:rsidRDefault="00C629F8">
      <w:pPr>
        <w:tabs>
          <w:tab w:val="left" w:pos="8640"/>
        </w:tabs>
        <w:jc w:val="center"/>
        <w:rPr>
          <w:rFonts w:ascii="Times New Roman" w:hAnsi="Times New Roman" w:cs="Times New Roman"/>
          <w:szCs w:val="24"/>
        </w:rPr>
      </w:pPr>
    </w:p>
    <w:p w:rsidR="00C629F8" w:rsidRDefault="002135F8">
      <w:pPr>
        <w:widowControl/>
        <w:tabs>
          <w:tab w:val="left" w:pos="8640"/>
        </w:tabs>
        <w:adjustRightInd w:val="0"/>
        <w:snapToGrid w:val="0"/>
        <w:spacing w:before="156" w:line="400" w:lineRule="atLeast"/>
        <w:ind w:firstLineChars="50" w:firstLine="105"/>
        <w:jc w:val="left"/>
        <w:rPr>
          <w:rFonts w:ascii="Times New Roman" w:hAnsi="Times New Roman" w:cs="Times New Roman"/>
          <w:szCs w:val="24"/>
        </w:rPr>
      </w:pPr>
      <w:r>
        <w:rPr>
          <w:rFonts w:ascii="Times New Roman" w:hAnsi="Times New Roman" w:cs="Times New Roman"/>
          <w:noProof/>
          <w:szCs w:val="24"/>
        </w:rPr>
        <mc:AlternateContent>
          <mc:Choice Requires="wps">
            <w:drawing>
              <wp:anchor distT="0" distB="0" distL="114298" distR="114298" simplePos="0" relativeHeight="15" behindDoc="0" locked="0" layoutInCell="1" hidden="0" allowOverlap="1">
                <wp:simplePos x="0" y="0"/>
                <wp:positionH relativeFrom="column">
                  <wp:posOffset>0</wp:posOffset>
                </wp:positionH>
                <wp:positionV relativeFrom="paragraph">
                  <wp:posOffset>364490</wp:posOffset>
                </wp:positionV>
                <wp:extent cx="5588000" cy="952"/>
                <wp:effectExtent l="0" t="0" r="0" b="0"/>
                <wp:wrapNone/>
                <wp:docPr id="6"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8000" cy="952"/>
                        </a:xfrm>
                        <a:prstGeom prst="line">
                          <a:avLst/>
                        </a:prstGeom>
                        <a:noFill/>
                        <a:ln w="15875" cap="flat" cmpd="sng">
                          <a:solidFill>
                            <a:srgbClr val="000000"/>
                          </a:solidFill>
                          <a:prstDash val="solid"/>
                          <a:miter/>
                        </a:ln>
                      </wps:spPr>
                      <wps:bodyPr/>
                    </wps:wsp>
                  </a:graphicData>
                </a:graphic>
              </wp:anchor>
            </w:drawing>
          </mc:Choice>
          <mc:Fallback xmlns:a="http://schemas.openxmlformats.org/drawingml/2006/main" xmlns:pic="http://schemas.openxmlformats.org/drawingml/2006/picture" xmlns:w15="http://schemas.microsoft.com/office/word/2012/wordml" xmlns:a14="http://schemas.microsoft.com/office/drawing/2010/main">
            <w:pict>
              <v:line type="#_x0000_t20" id="直接连接符 5 7" o:spid="_x0000_s7" from="0.0pt,28.7pt" to="440.0pt,28.774998pt" filled="f" stroked="t" strokeweight="1.25pt" style="position:absolute;z-index:15;mso-position-horizontal:absolute;mso-position-vertical:absolute;mso-wrap-distance-left:8.999863pt;mso-wrap-distance-right:8.999863pt;visibility:visible;">
                <v:stroke color="#000000"/>
              </v:line>
            </w:pict>
          </mc:Fallback>
        </mc:AlternateContent>
      </w:r>
      <w:r>
        <w:rPr>
          <w:rFonts w:ascii="Times New Roman" w:hAnsi="Times New Roman" w:cs="Times New Roman"/>
          <w:noProof/>
          <w:szCs w:val="24"/>
        </w:rPr>
        <mc:AlternateContent>
          <mc:Choice Requires="wps">
            <w:drawing>
              <wp:anchor distT="0" distB="0" distL="114298" distR="114298" simplePos="0" relativeHeight="17" behindDoc="0" locked="0" layoutInCell="1" hidden="0" allowOverlap="1">
                <wp:simplePos x="0" y="0"/>
                <wp:positionH relativeFrom="column">
                  <wp:posOffset>0</wp:posOffset>
                </wp:positionH>
                <wp:positionV relativeFrom="paragraph">
                  <wp:posOffset>45085</wp:posOffset>
                </wp:positionV>
                <wp:extent cx="5588000" cy="952"/>
                <wp:effectExtent l="0" t="0" r="0" b="0"/>
                <wp:wrapNone/>
                <wp:docPr id="8"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8000" cy="952"/>
                        </a:xfrm>
                        <a:prstGeom prst="line">
                          <a:avLst/>
                        </a:prstGeom>
                        <a:noFill/>
                        <a:ln w="15875" cap="flat" cmpd="sng">
                          <a:solidFill>
                            <a:srgbClr val="000000"/>
                          </a:solidFill>
                          <a:prstDash val="solid"/>
                          <a:miter/>
                        </a:ln>
                      </wps:spPr>
                      <wps:bodyPr/>
                    </wps:wsp>
                  </a:graphicData>
                </a:graphic>
              </wp:anchor>
            </w:drawing>
          </mc:Choice>
          <mc:Fallback xmlns:a="http://schemas.openxmlformats.org/drawingml/2006/main" xmlns:pic="http://schemas.openxmlformats.org/drawingml/2006/picture" xmlns:w15="http://schemas.microsoft.com/office/word/2012/wordml" xmlns:a14="http://schemas.microsoft.com/office/drawing/2010/main">
            <w:pict>
              <v:line type="#_x0000_t20" id="直接连接符 3 9" o:spid="_x0000_s9" from="0.0pt,3.5500002pt" to="440.0pt,3.624999pt" filled="f" stroked="t" strokeweight="1.25pt" style="position:absolute;z-index:17;mso-position-horizontal:absolute;mso-position-vertical:absolute;mso-wrap-distance-left:8.999863pt;mso-wrap-distance-right:8.999863pt;visibility:visible;">
                <v:stroke color="#000000"/>
              </v:line>
            </w:pict>
          </mc:Fallback>
        </mc:AlternateContent>
      </w:r>
      <w:r>
        <w:rPr>
          <w:rFonts w:ascii="方正仿宋_GBK" w:eastAsia="方正仿宋_GBK" w:cs="Times New Roman" w:hint="eastAsia"/>
          <w:sz w:val="28"/>
          <w:szCs w:val="28"/>
        </w:rPr>
        <w:t>江苏省药品监督管理局办公室                2025年5月15日印发</w:t>
      </w:r>
    </w:p>
    <w:sectPr w:rsidR="00C629F8">
      <w:footerReference w:type="even" r:id="rId8"/>
      <w:footerReference w:type="default" r:id="rId9"/>
      <w:pgSz w:w="11906" w:h="16838"/>
      <w:pgMar w:top="1814" w:right="1531" w:bottom="1985" w:left="1531" w:header="720" w:footer="1474"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236" w:rsidRDefault="00174236">
      <w:r>
        <w:separator/>
      </w:r>
    </w:p>
  </w:endnote>
  <w:endnote w:type="continuationSeparator" w:id="0">
    <w:p w:rsidR="00174236" w:rsidRDefault="00174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永中仿宋"/>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姚体">
    <w:altName w:val="方正兰亭黑_GBK"/>
    <w:panose1 w:val="02010601030101010101"/>
    <w:charset w:val="86"/>
    <w:family w:val="auto"/>
    <w:pitch w:val="variable"/>
    <w:sig w:usb0="00000003"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9F8" w:rsidRDefault="002135F8">
    <w:pPr>
      <w:pStyle w:val="a4"/>
      <w:framePr w:wrap="around" w:vAnchor="text" w:hAnchor="margin" w:xAlign="outside" w:y="1"/>
      <w:rPr>
        <w:rStyle w:val="a7"/>
      </w:rPr>
    </w:pPr>
    <w:r>
      <w:rPr>
        <w:rStyle w:val="a7"/>
      </w:rPr>
      <w:fldChar w:fldCharType="begin"/>
    </w:r>
    <w:r>
      <w:rPr>
        <w:rStyle w:val="a7"/>
      </w:rPr>
      <w:instrText xml:space="preserve">PAGE  </w:instrText>
    </w:r>
    <w:r>
      <w:fldChar w:fldCharType="separate"/>
    </w:r>
    <w:r>
      <w:rPr>
        <w:rStyle w:val="a7"/>
      </w:rPr>
      <w:t>2</w:t>
    </w:r>
    <w:r>
      <w:fldChar w:fldCharType="end"/>
    </w:r>
  </w:p>
  <w:p w:rsidR="00C629F8" w:rsidRDefault="002135F8">
    <w:pPr>
      <w:pStyle w:val="a4"/>
      <w:ind w:right="360" w:firstLine="360"/>
      <w:jc w:val="center"/>
      <w:rPr>
        <w:rFonts w:ascii="方正仿宋_GBK" w:eastAsia="方正仿宋_GBK"/>
        <w:sz w:val="24"/>
        <w:szCs w:val="24"/>
      </w:rPr>
    </w:pPr>
    <w:r>
      <w:rPr>
        <w:rStyle w:val="a7"/>
        <w:rFonts w:ascii="方正仿宋_GBK" w:eastAsia="方正仿宋_GBK" w:hint="eastAsia"/>
        <w:sz w:val="24"/>
        <w:szCs w:val="24"/>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9F8" w:rsidRDefault="00C629F8">
    <w:pPr>
      <w:pStyle w:val="a4"/>
      <w:ind w:right="360" w:firstLine="360"/>
      <w:rPr>
        <w:rFonts w:ascii="方正仿宋_GBK" w:eastAsia="方正仿宋_GBK"/>
        <w:b/>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236" w:rsidRDefault="00174236">
      <w:r>
        <w:separator/>
      </w:r>
    </w:p>
  </w:footnote>
  <w:footnote w:type="continuationSeparator" w:id="0">
    <w:p w:rsidR="00174236" w:rsidRDefault="001742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
  <w:rsids>
    <w:rsidRoot w:val="00C629F8"/>
    <w:rsid w:val="00174236"/>
    <w:rsid w:val="002135F8"/>
    <w:rsid w:val="005217A1"/>
    <w:rsid w:val="00C629F8"/>
    <w:rsid w:val="00F00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Arial"/>
      <w:kern w:val="2"/>
      <w:sz w:val="21"/>
      <w:szCs w:val="22"/>
    </w:rPr>
  </w:style>
  <w:style w:type="paragraph" w:styleId="1">
    <w:name w:val="heading 1"/>
    <w:basedOn w:val="a"/>
    <w:next w:val="a"/>
    <w:pPr>
      <w:keepNext/>
      <w:keepLines/>
      <w:spacing w:before="340" w:after="330" w:line="578" w:lineRule="auto"/>
      <w:outlineLvl w:val="0"/>
    </w:pPr>
    <w:rPr>
      <w:b/>
      <w:bCs/>
      <w:kern w:val="44"/>
      <w:sz w:val="44"/>
      <w:szCs w:val="44"/>
    </w:rPr>
  </w:style>
  <w:style w:type="paragraph" w:styleId="2">
    <w:name w:val="heading 2"/>
    <w:basedOn w:val="a"/>
    <w:next w:val="a"/>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a"/>
    <w:next w:val="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Strong"/>
    <w:basedOn w:val="a0"/>
    <w:rPr>
      <w:b/>
      <w:bCs/>
    </w:rPr>
  </w:style>
  <w:style w:type="character" w:styleId="a7">
    <w:name w:val="page number"/>
    <w:basedOn w:val="a0"/>
  </w:style>
  <w:style w:type="character" w:styleId="a8">
    <w:name w:val="Hyperlink"/>
    <w:basedOn w:val="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rPr>
      <w:rFonts w:ascii="Calibri" w:hAnsi="Calibri" w:cs="Arial"/>
      <w:kern w:val="2"/>
      <w:sz w:val="21"/>
      <w:szCs w:val="22"/>
    </w:rPr>
  </w:style>
  <w:style w:type="paragraph" w:styleId="1">
    <w:name w:val="heading 1"/>
    <w:basedOn w:val="a"/>
    <w:next w:val="a"/>
    <w:pPr>
      <w:keepNext/>
      <w:keepLines/>
      <w:spacing w:before="340" w:after="330" w:line="578" w:lineRule="auto"/>
      <w:outlineLvl w:val="0"/>
    </w:pPr>
    <w:rPr>
      <w:b/>
      <w:bCs/>
      <w:kern w:val="44"/>
      <w:sz w:val="44"/>
      <w:szCs w:val="44"/>
    </w:rPr>
  </w:style>
  <w:style w:type="paragraph" w:styleId="2">
    <w:name w:val="heading 2"/>
    <w:basedOn w:val="a"/>
    <w:next w:val="a"/>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a"/>
    <w:next w:val="a"/>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sz w:val="18"/>
      <w:szCs w:val="18"/>
    </w:rPr>
  </w:style>
  <w:style w:type="paragraph" w:styleId="a4">
    <w:name w:val="footer"/>
    <w:basedOn w:val="a"/>
    <w:pPr>
      <w:tabs>
        <w:tab w:val="center" w:pos="4153"/>
        <w:tab w:val="right" w:pos="8306"/>
      </w:tabs>
      <w:snapToGrid w:val="0"/>
      <w:jc w:val="left"/>
    </w:pPr>
    <w:rPr>
      <w:sz w:val="18"/>
      <w:szCs w:val="18"/>
    </w:rPr>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character" w:styleId="a6">
    <w:name w:val="Strong"/>
    <w:basedOn w:val="a0"/>
    <w:rPr>
      <w:b/>
      <w:bCs/>
    </w:rPr>
  </w:style>
  <w:style w:type="character" w:styleId="a7">
    <w:name w:val="page number"/>
    <w:basedOn w:val="a0"/>
  </w:style>
  <w:style w:type="character" w:styleId="a8">
    <w:name w:val="Hyperlink"/>
    <w:basedOn w:val="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09E03-CF1C-4CAA-B33F-CC87E009C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51</cp:revision>
  <cp:lastPrinted>2025-05-16T06:40:00Z</cp:lastPrinted>
  <dcterms:created xsi:type="dcterms:W3CDTF">2024-06-20T08:02:00Z</dcterms:created>
  <dcterms:modified xsi:type="dcterms:W3CDTF">2025-05-21T07:20:00Z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eyJoZGlkIjoiMzZkN2NhOTA2NWM0ZTE3MGI4YTc2ZTMwOWU0YTc2MzMiLCJ1c2VySWQiOiIyOTA3MTM0ODAifQ==</vt:lpwstr>
  </property>
  <property fmtid="{D5CDD505-2E9C-101B-9397-08002B2CF9AE}" pid="3" name="KSOProductBuildVer">
    <vt:lpwstr>2052-12.1.0.21171</vt:lpwstr>
  </property>
  <property fmtid="{D5CDD505-2E9C-101B-9397-08002B2CF9AE}" pid="4" name="ICV">
    <vt:lpwstr>433D33D69FD040C3866649FF07784261_12</vt:lpwstr>
  </property>
</Properties>
</file>