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B9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vertAlign w:val="baseline"/>
          <w:lang w:val="en-US" w:eastAsia="zh-CN"/>
        </w:rPr>
      </w:pPr>
      <w:r>
        <w:rPr>
          <w:rFonts w:hint="eastAsia" w:ascii="方正黑体_GBK" w:hAnsi="方正黑体_GBK" w:eastAsia="方正黑体_GBK" w:cs="方正黑体_GBK"/>
          <w:b/>
          <w:bCs/>
          <w:i w:val="0"/>
          <w:iCs w:val="0"/>
          <w:caps w:val="0"/>
          <w:color w:val="000000"/>
          <w:spacing w:val="0"/>
          <w:sz w:val="44"/>
          <w:szCs w:val="44"/>
          <w:shd w:val="clear" w:fill="FFFFFF"/>
        </w:rPr>
        <w:t>市场</w:t>
      </w:r>
      <w:r>
        <w:rPr>
          <w:rFonts w:hint="eastAsia" w:ascii="方正黑体_GBK" w:hAnsi="方正黑体_GBK" w:eastAsia="方正黑体_GBK" w:cs="方正黑体_GBK"/>
          <w:b/>
          <w:bCs/>
          <w:i w:val="0"/>
          <w:iCs w:val="0"/>
          <w:caps w:val="0"/>
          <w:color w:val="000000"/>
          <w:spacing w:val="0"/>
          <w:sz w:val="44"/>
          <w:szCs w:val="44"/>
          <w:shd w:val="clear" w:fill="FFFFFF"/>
          <w:lang w:val="en-US" w:eastAsia="zh-CN"/>
        </w:rPr>
        <w:t>监管领域市设</w:t>
      </w:r>
      <w:r>
        <w:rPr>
          <w:rFonts w:hint="eastAsia" w:ascii="方正黑体_GBK" w:hAnsi="方正黑体_GBK" w:eastAsia="方正黑体_GBK" w:cs="方正黑体_GBK"/>
          <w:b/>
          <w:bCs/>
          <w:i w:val="0"/>
          <w:iCs w:val="0"/>
          <w:caps w:val="0"/>
          <w:color w:val="000000"/>
          <w:spacing w:val="0"/>
          <w:sz w:val="44"/>
          <w:szCs w:val="44"/>
          <w:shd w:val="clear" w:fill="FFFFFF"/>
        </w:rPr>
        <w:t>行政处罚裁量基准（</w:t>
      </w:r>
      <w:r>
        <w:rPr>
          <w:rFonts w:hint="eastAsia" w:ascii="方正黑体_GBK" w:hAnsi="方正黑体_GBK" w:eastAsia="方正黑体_GBK" w:cs="方正黑体_GBK"/>
          <w:b/>
          <w:bCs/>
          <w:i w:val="0"/>
          <w:iCs w:val="0"/>
          <w:caps w:val="0"/>
          <w:color w:val="000000"/>
          <w:spacing w:val="0"/>
          <w:sz w:val="44"/>
          <w:szCs w:val="44"/>
          <w:shd w:val="clear" w:fill="FFFFFF"/>
          <w:lang w:val="en-US" w:eastAsia="zh-CN"/>
        </w:rPr>
        <w:t>一</w:t>
      </w:r>
      <w:r>
        <w:rPr>
          <w:rFonts w:hint="eastAsia" w:ascii="方正黑体_GBK" w:hAnsi="方正黑体_GBK" w:eastAsia="方正黑体_GBK" w:cs="方正黑体_GBK"/>
          <w:b/>
          <w:bCs/>
          <w:i w:val="0"/>
          <w:iCs w:val="0"/>
          <w:caps w:val="0"/>
          <w:color w:val="000000"/>
          <w:spacing w:val="0"/>
          <w:sz w:val="44"/>
          <w:szCs w:val="44"/>
          <w:shd w:val="clear" w:fill="FFFFFF"/>
        </w:rPr>
        <w:t>）</w:t>
      </w:r>
      <w:r>
        <w:rPr>
          <w:rFonts w:hint="eastAsia" w:ascii="方正楷体_GBK" w:hAnsi="方正楷体_GBK" w:eastAsia="方正楷体_GBK" w:cs="方正楷体_GBK"/>
          <w:b/>
          <w:bCs/>
          <w:i w:val="0"/>
          <w:iCs w:val="0"/>
          <w:caps w:val="0"/>
          <w:color w:val="000000"/>
          <w:spacing w:val="0"/>
          <w:sz w:val="44"/>
          <w:szCs w:val="44"/>
          <w:shd w:val="clear" w:fill="FFFFFF"/>
        </w:rPr>
        <w:t>（征求意见稿）</w:t>
      </w:r>
    </w:p>
    <w:p w14:paraId="1AB0F578">
      <w:pPr>
        <w:jc w:val="both"/>
        <w:rPr>
          <w:rFonts w:hint="eastAsia"/>
          <w:sz w:val="36"/>
          <w:szCs w:val="36"/>
          <w:vertAlign w:val="baseline"/>
          <w:lang w:val="en-US" w:eastAsia="zh-CN"/>
        </w:rPr>
      </w:pPr>
      <w:bookmarkStart w:id="0" w:name="_GoBack"/>
      <w:bookmarkEnd w:id="0"/>
    </w:p>
    <w:p w14:paraId="7138156D">
      <w:pPr>
        <w:numPr>
          <w:ilvl w:val="0"/>
          <w:numId w:val="0"/>
        </w:numPr>
        <w:snapToGrid w:val="0"/>
        <w:spacing w:line="59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一、</w:t>
      </w:r>
      <w:r>
        <w:rPr>
          <w:rFonts w:hint="eastAsia" w:ascii="方正仿宋_GBK" w:hAnsi="方正仿宋_GBK" w:eastAsia="方正仿宋_GBK" w:cs="方正仿宋_GBK"/>
          <w:sz w:val="32"/>
          <w:szCs w:val="32"/>
          <w:lang w:val="en-US" w:eastAsia="zh-CN"/>
        </w:rPr>
        <w:t>《南通市知识产权促进和保护条例》行政处罚裁量权基准</w:t>
      </w:r>
    </w:p>
    <w:p w14:paraId="2FEEE662">
      <w:pPr>
        <w:numPr>
          <w:ilvl w:val="0"/>
          <w:numId w:val="0"/>
        </w:numPr>
        <w:snapToGrid w:val="0"/>
        <w:spacing w:line="590" w:lineRule="exact"/>
        <w:ind w:firstLine="64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仿宋_GBK" w:hAnsi="方正仿宋_GBK" w:eastAsia="方正仿宋_GBK" w:cs="方正仿宋_GBK"/>
          <w:sz w:val="32"/>
          <w:szCs w:val="32"/>
          <w:lang w:val="en-US" w:eastAsia="zh-CN"/>
        </w:rPr>
        <w:t>二、《南通市网络餐饮服务食品安全监督管理条例》行政处罚裁量权基准</w:t>
      </w:r>
    </w:p>
    <w:p w14:paraId="4F0389FF">
      <w:pPr>
        <w:numPr>
          <w:ilvl w:val="0"/>
          <w:numId w:val="0"/>
        </w:numPr>
        <w:snapToGrid w:val="0"/>
        <w:spacing w:line="59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三、《南通市住宅物业管理条例》行政处罚裁量权基准</w:t>
      </w:r>
    </w:p>
    <w:p w14:paraId="3B5FE3E0">
      <w:pPr>
        <w:bidi w:val="0"/>
        <w:ind w:firstLine="640" w:firstLineChars="200"/>
        <w:jc w:val="left"/>
        <w:rPr>
          <w:rFonts w:hint="eastAsia" w:ascii="方正仿宋_GBK" w:hAnsi="方正仿宋_GBK" w:eastAsia="方正仿宋_GBK" w:cs="方正仿宋_GBK"/>
          <w:sz w:val="32"/>
          <w:szCs w:val="32"/>
          <w:lang w:val="en-US" w:eastAsia="zh-CN"/>
        </w:rPr>
      </w:pPr>
    </w:p>
    <w:p w14:paraId="51E6020B">
      <w:pPr>
        <w:jc w:val="center"/>
        <w:outlineLvl w:val="9"/>
        <w:rPr>
          <w:rFonts w:hint="eastAsia" w:asciiTheme="minorHAnsi" w:hAnsiTheme="minorHAnsi" w:eastAsiaTheme="minorEastAsia" w:cstheme="minorBidi"/>
          <w:kern w:val="2"/>
          <w:sz w:val="36"/>
          <w:szCs w:val="36"/>
          <w:vertAlign w:val="baseline"/>
          <w:lang w:val="en-US" w:eastAsia="zh-CN" w:bidi="ar-SA"/>
        </w:rPr>
      </w:pPr>
    </w:p>
    <w:p w14:paraId="7E3D69E7">
      <w:pPr>
        <w:jc w:val="center"/>
        <w:rPr>
          <w:rFonts w:hint="eastAsia"/>
          <w:sz w:val="36"/>
          <w:szCs w:val="36"/>
          <w:vertAlign w:val="baseline"/>
          <w:lang w:val="en-US" w:eastAsia="zh-CN"/>
        </w:rPr>
      </w:pPr>
    </w:p>
    <w:p w14:paraId="64DD3618">
      <w:pPr>
        <w:jc w:val="center"/>
        <w:rPr>
          <w:rFonts w:hint="eastAsia"/>
          <w:sz w:val="36"/>
          <w:szCs w:val="36"/>
          <w:vertAlign w:val="baseline"/>
          <w:lang w:val="en-US" w:eastAsia="zh-CN"/>
        </w:rPr>
      </w:pPr>
    </w:p>
    <w:p w14:paraId="1FDF032E">
      <w:pPr>
        <w:jc w:val="center"/>
        <w:rPr>
          <w:rFonts w:hint="eastAsia"/>
          <w:sz w:val="36"/>
          <w:szCs w:val="36"/>
          <w:vertAlign w:val="baseline"/>
          <w:lang w:val="en-US" w:eastAsia="zh-CN"/>
        </w:rPr>
      </w:pPr>
    </w:p>
    <w:p w14:paraId="7E4CC2CE">
      <w:pPr>
        <w:jc w:val="center"/>
        <w:rPr>
          <w:rFonts w:hint="eastAsia"/>
          <w:sz w:val="36"/>
          <w:szCs w:val="36"/>
          <w:vertAlign w:val="baseline"/>
          <w:lang w:val="en-US" w:eastAsia="zh-CN"/>
        </w:rPr>
      </w:pPr>
    </w:p>
    <w:p w14:paraId="61202563">
      <w:pPr>
        <w:jc w:val="center"/>
        <w:rPr>
          <w:rFonts w:hint="eastAsia"/>
          <w:sz w:val="36"/>
          <w:szCs w:val="36"/>
          <w:vertAlign w:val="baseline"/>
          <w:lang w:val="en-US" w:eastAsia="zh-CN"/>
        </w:rPr>
      </w:pPr>
    </w:p>
    <w:p w14:paraId="426A64F0">
      <w:pPr>
        <w:jc w:val="center"/>
        <w:rPr>
          <w:rFonts w:hint="eastAsia"/>
          <w:sz w:val="36"/>
          <w:szCs w:val="36"/>
          <w:vertAlign w:val="baseline"/>
          <w:lang w:val="en-US" w:eastAsia="zh-CN"/>
        </w:rPr>
      </w:pPr>
    </w:p>
    <w:p w14:paraId="66C6F735">
      <w:pPr>
        <w:jc w:val="center"/>
        <w:rPr>
          <w:rFonts w:hint="eastAsia"/>
          <w:sz w:val="36"/>
          <w:szCs w:val="36"/>
          <w:vertAlign w:val="baseline"/>
          <w:lang w:val="en-US" w:eastAsia="zh-CN"/>
        </w:rPr>
      </w:pPr>
    </w:p>
    <w:p w14:paraId="4691787A">
      <w:pPr>
        <w:jc w:val="center"/>
        <w:rPr>
          <w:rFonts w:hint="eastAsia"/>
          <w:sz w:val="36"/>
          <w:szCs w:val="36"/>
          <w:vertAlign w:val="baseline"/>
          <w:lang w:val="en-US" w:eastAsia="zh-CN"/>
        </w:rPr>
      </w:pPr>
    </w:p>
    <w:p w14:paraId="052631A8">
      <w:pPr>
        <w:jc w:val="center"/>
        <w:rPr>
          <w:rFonts w:hint="eastAsia"/>
          <w:sz w:val="36"/>
          <w:szCs w:val="36"/>
          <w:vertAlign w:val="baseline"/>
          <w:lang w:val="en-US" w:eastAsia="zh-CN"/>
        </w:rPr>
      </w:pPr>
    </w:p>
    <w:p w14:paraId="056D7A47">
      <w:pPr>
        <w:jc w:val="center"/>
        <w:rPr>
          <w:rFonts w:hint="eastAsia"/>
          <w:sz w:val="36"/>
          <w:szCs w:val="36"/>
          <w:vertAlign w:val="baseline"/>
          <w:lang w:val="en-US" w:eastAsia="zh-CN"/>
        </w:rPr>
      </w:pPr>
    </w:p>
    <w:p w14:paraId="3262DFD1">
      <w:pPr>
        <w:jc w:val="center"/>
        <w:rPr>
          <w:rFonts w:hint="eastAsia"/>
          <w:sz w:val="36"/>
          <w:szCs w:val="36"/>
          <w:vertAlign w:val="baseline"/>
          <w:lang w:val="en-US" w:eastAsia="zh-CN"/>
        </w:rPr>
      </w:pPr>
    </w:p>
    <w:p w14:paraId="4ACAAA14">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lang w:val="en-US" w:eastAsia="zh-CN"/>
        </w:rPr>
        <w:t>《南通市知识产权促进和保护条例》行政处罚裁量权基准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6A22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31F30603">
            <w:pPr>
              <w:bidi w:val="0"/>
              <w:rPr>
                <w:rFonts w:hint="eastAsia" w:asciiTheme="minorHAnsi" w:hAnsiTheme="minorHAnsi" w:eastAsiaTheme="minorEastAsia" w:cstheme="minorBidi"/>
                <w:kern w:val="2"/>
                <w:sz w:val="21"/>
                <w:szCs w:val="24"/>
                <w:lang w:val="en-US" w:eastAsia="zh-CN" w:bidi="ar-SA"/>
              </w:rPr>
            </w:pPr>
          </w:p>
          <w:p w14:paraId="55F508F9">
            <w:pPr>
              <w:bidi w:val="0"/>
              <w:jc w:val="both"/>
              <w:rPr>
                <w:rFonts w:hint="eastAsia"/>
                <w:lang w:val="en-US" w:eastAsia="zh-CN"/>
              </w:rPr>
            </w:pPr>
            <w:r>
              <w:rPr>
                <w:rFonts w:hint="eastAsia"/>
                <w:lang w:val="en-US" w:eastAsia="zh-CN"/>
              </w:rPr>
              <w:t>序号</w:t>
            </w:r>
          </w:p>
          <w:p w14:paraId="4E76FA5E">
            <w:pPr>
              <w:bidi w:val="0"/>
              <w:jc w:val="both"/>
              <w:rPr>
                <w:rFonts w:hint="default"/>
                <w:lang w:val="en-US" w:eastAsia="zh-CN"/>
              </w:rPr>
            </w:pPr>
            <w:r>
              <w:rPr>
                <w:rFonts w:hint="eastAsia"/>
                <w:lang w:val="en-US" w:eastAsia="zh-CN"/>
              </w:rPr>
              <w:t>1</w:t>
            </w:r>
          </w:p>
        </w:tc>
        <w:tc>
          <w:tcPr>
            <w:tcW w:w="1470" w:type="dxa"/>
            <w:vAlign w:val="center"/>
          </w:tcPr>
          <w:p w14:paraId="4BF078F1">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6859BB3B">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对专业市场开办方未制定知识产权保护管理制度的处罚</w:t>
            </w:r>
          </w:p>
        </w:tc>
      </w:tr>
      <w:tr w14:paraId="7282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94" w:type="dxa"/>
            <w:vMerge w:val="continue"/>
          </w:tcPr>
          <w:p w14:paraId="67DBC6E6">
            <w:pPr>
              <w:rPr>
                <w:rFonts w:hint="eastAsia" w:eastAsiaTheme="minorEastAsia"/>
                <w:vertAlign w:val="baseline"/>
                <w:lang w:val="en-US" w:eastAsia="zh-CN"/>
              </w:rPr>
            </w:pPr>
          </w:p>
        </w:tc>
        <w:tc>
          <w:tcPr>
            <w:tcW w:w="1470" w:type="dxa"/>
            <w:vAlign w:val="center"/>
          </w:tcPr>
          <w:p w14:paraId="50A0AB38">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vAlign w:val="top"/>
          </w:tcPr>
          <w:p w14:paraId="2089674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《南通市知识产权促进和保护条例》</w:t>
            </w:r>
          </w:p>
          <w:p w14:paraId="18167BCE">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第三十六条第一款 家纺服装、家具家装、电动工具等专业市场开办方应当采取下列措施加强专业市场知识产权保护：</w:t>
            </w:r>
          </w:p>
          <w:p w14:paraId="2A24B298">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方正仿宋_GBK" w:hAnsi="方正仿宋_GBK" w:eastAsia="方正仿宋_GBK" w:cs="方正仿宋_GBK"/>
                <w:color w:val="auto"/>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（一）制定知识产权保护管理制度，通过与场内经营者签订协议等方式明确知识产权保护权利和义务；</w:t>
            </w:r>
          </w:p>
          <w:p w14:paraId="4997C2C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第五十条 专业市场开办方违反本条例第三十六条第一款第一项、第二项规定，有下列情形之一的，由市场监督管理（知识产权）部门责令改正；拒不改正的，处二千元以上一万元以下罚款：</w:t>
            </w:r>
          </w:p>
          <w:p w14:paraId="59DFEE04">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（一）未制定知识产权保护管理制度；</w:t>
            </w:r>
          </w:p>
        </w:tc>
      </w:tr>
      <w:tr w14:paraId="2C5D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7011A8BC">
            <w:pPr>
              <w:rPr>
                <w:rFonts w:hint="eastAsia" w:eastAsiaTheme="minorEastAsia"/>
                <w:vertAlign w:val="baseline"/>
                <w:lang w:val="en-US" w:eastAsia="zh-CN"/>
              </w:rPr>
            </w:pPr>
          </w:p>
        </w:tc>
        <w:tc>
          <w:tcPr>
            <w:tcW w:w="1470" w:type="dxa"/>
            <w:vMerge w:val="restart"/>
            <w:vAlign w:val="center"/>
          </w:tcPr>
          <w:p w14:paraId="124B3CE0">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467ECE3D">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vAlign w:val="center"/>
          </w:tcPr>
          <w:p w14:paraId="371171E0">
            <w:pPr>
              <w:jc w:val="center"/>
              <w:rPr>
                <w:rFonts w:hint="default"/>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处二千元以上四千四百元以下罚款。（含本数）</w:t>
            </w:r>
          </w:p>
        </w:tc>
      </w:tr>
      <w:tr w14:paraId="0069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640AC89">
            <w:pPr>
              <w:rPr>
                <w:rFonts w:hint="eastAsia" w:eastAsiaTheme="minorEastAsia"/>
                <w:vertAlign w:val="baseline"/>
                <w:lang w:val="en-US" w:eastAsia="zh-CN"/>
              </w:rPr>
            </w:pPr>
          </w:p>
        </w:tc>
        <w:tc>
          <w:tcPr>
            <w:tcW w:w="1470" w:type="dxa"/>
            <w:vMerge w:val="continue"/>
            <w:vAlign w:val="center"/>
          </w:tcPr>
          <w:p w14:paraId="3DBB8DB1">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1FF4275F">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vAlign w:val="center"/>
          </w:tcPr>
          <w:p w14:paraId="3EE97B58">
            <w:pPr>
              <w:jc w:val="center"/>
              <w:rPr>
                <w:rFonts w:hint="default"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处四千四百元以上七千六百元以下罚款。（不含本数）</w:t>
            </w:r>
          </w:p>
        </w:tc>
      </w:tr>
      <w:tr w14:paraId="2E7D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0BD149E8">
            <w:pPr>
              <w:rPr>
                <w:rFonts w:hint="eastAsia" w:eastAsiaTheme="minorEastAsia"/>
                <w:vertAlign w:val="baseline"/>
                <w:lang w:val="en-US" w:eastAsia="zh-CN"/>
              </w:rPr>
            </w:pPr>
          </w:p>
        </w:tc>
        <w:tc>
          <w:tcPr>
            <w:tcW w:w="1470" w:type="dxa"/>
            <w:vMerge w:val="continue"/>
            <w:vAlign w:val="center"/>
          </w:tcPr>
          <w:p w14:paraId="42F0E9B0">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7F34B3D0">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vAlign w:val="center"/>
          </w:tcPr>
          <w:p w14:paraId="592701E0">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处七千六百元以上一万元以下罚款。（含本数）</w:t>
            </w:r>
          </w:p>
        </w:tc>
      </w:tr>
      <w:tr w14:paraId="76C3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594" w:type="dxa"/>
            <w:vMerge w:val="continue"/>
          </w:tcPr>
          <w:p w14:paraId="5F5BDCC8">
            <w:pPr>
              <w:rPr>
                <w:rFonts w:hint="eastAsia" w:eastAsiaTheme="minorEastAsia"/>
                <w:vertAlign w:val="baseline"/>
                <w:lang w:val="en-US" w:eastAsia="zh-CN"/>
              </w:rPr>
            </w:pPr>
          </w:p>
        </w:tc>
        <w:tc>
          <w:tcPr>
            <w:tcW w:w="1470" w:type="dxa"/>
            <w:vAlign w:val="center"/>
          </w:tcPr>
          <w:p w14:paraId="7CB93CD4">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092C0842">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37EB51C2">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立案后改正；</w:t>
            </w:r>
          </w:p>
          <w:p w14:paraId="0A019F8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危害后果较轻； </w:t>
            </w:r>
          </w:p>
          <w:p w14:paraId="70388D4E">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社会影响较小； </w:t>
            </w:r>
          </w:p>
          <w:p w14:paraId="5104FA0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4DC955A6">
            <w:pPr>
              <w:keepNext w:val="0"/>
              <w:keepLines w:val="0"/>
              <w:widowControl/>
              <w:suppressLineNumbers w:val="0"/>
              <w:jc w:val="left"/>
            </w:pPr>
            <w:r>
              <w:rPr>
                <w:rFonts w:hint="eastAsia" w:ascii="方正黑体_GBK" w:hAnsi="方正黑体_GBK" w:eastAsia="方正黑体_GBK" w:cs="方正黑体_GBK"/>
                <w:sz w:val="28"/>
                <w:szCs w:val="28"/>
                <w:vertAlign w:val="baseline"/>
                <w:lang w:val="en-US" w:eastAsia="zh-CN"/>
              </w:rPr>
              <w:t>从重情形：</w:t>
            </w:r>
          </w:p>
          <w:p w14:paraId="397902E9">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多次实施违法行为；</w:t>
            </w:r>
          </w:p>
          <w:p w14:paraId="1113698E">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危害后果较重； </w:t>
            </w:r>
          </w:p>
          <w:p w14:paraId="05B9C09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社会影响较大； </w:t>
            </w:r>
          </w:p>
          <w:p w14:paraId="1758EF47">
            <w:pPr>
              <w:bidi w:val="0"/>
              <w:ind w:firstLine="420" w:firstLineChars="200"/>
              <w:jc w:val="left"/>
              <w:rPr>
                <w:rFonts w:hint="default"/>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4</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其他情形。</w:t>
            </w:r>
          </w:p>
        </w:tc>
      </w:tr>
      <w:tr w14:paraId="59E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0C97E092">
            <w:pPr>
              <w:rPr>
                <w:rFonts w:hint="eastAsia" w:eastAsiaTheme="minorEastAsia"/>
                <w:vertAlign w:val="baseline"/>
                <w:lang w:val="en-US" w:eastAsia="zh-CN"/>
              </w:rPr>
            </w:pPr>
          </w:p>
        </w:tc>
        <w:tc>
          <w:tcPr>
            <w:tcW w:w="1470" w:type="dxa"/>
            <w:vAlign w:val="center"/>
          </w:tcPr>
          <w:p w14:paraId="5BAB8E2D">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664601B9">
            <w:pPr>
              <w:rPr>
                <w:rFonts w:hint="eastAsia" w:eastAsiaTheme="minorEastAsia"/>
                <w:vertAlign w:val="baseline"/>
                <w:lang w:val="en-US" w:eastAsia="zh-CN"/>
              </w:rPr>
            </w:pPr>
          </w:p>
        </w:tc>
      </w:tr>
    </w:tbl>
    <w:p w14:paraId="08BE5756">
      <w:pPr>
        <w:jc w:val="both"/>
        <w:rPr>
          <w:rFonts w:hint="eastAsia" w:eastAsiaTheme="minorEastAsia"/>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465B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47F37781">
            <w:pPr>
              <w:bidi w:val="0"/>
              <w:rPr>
                <w:rFonts w:hint="eastAsia" w:asciiTheme="minorHAnsi" w:hAnsiTheme="minorHAnsi" w:eastAsiaTheme="minorEastAsia" w:cstheme="minorBidi"/>
                <w:kern w:val="2"/>
                <w:sz w:val="21"/>
                <w:szCs w:val="24"/>
                <w:lang w:val="en-US" w:eastAsia="zh-CN" w:bidi="ar-SA"/>
              </w:rPr>
            </w:pPr>
          </w:p>
          <w:p w14:paraId="78D81819">
            <w:pPr>
              <w:bidi w:val="0"/>
              <w:jc w:val="both"/>
              <w:rPr>
                <w:rFonts w:hint="eastAsia"/>
                <w:lang w:val="en-US" w:eastAsia="zh-CN"/>
              </w:rPr>
            </w:pPr>
            <w:r>
              <w:rPr>
                <w:rFonts w:hint="eastAsia"/>
                <w:lang w:val="en-US" w:eastAsia="zh-CN"/>
              </w:rPr>
              <w:t>序号</w:t>
            </w:r>
          </w:p>
          <w:p w14:paraId="25A2295D">
            <w:pPr>
              <w:bidi w:val="0"/>
              <w:jc w:val="both"/>
              <w:rPr>
                <w:rFonts w:hint="default"/>
                <w:lang w:val="en-US" w:eastAsia="zh-CN"/>
              </w:rPr>
            </w:pPr>
            <w:r>
              <w:rPr>
                <w:rFonts w:hint="eastAsia"/>
                <w:lang w:val="en-US" w:eastAsia="zh-CN"/>
              </w:rPr>
              <w:t>2</w:t>
            </w:r>
          </w:p>
        </w:tc>
        <w:tc>
          <w:tcPr>
            <w:tcW w:w="1470" w:type="dxa"/>
            <w:vAlign w:val="center"/>
          </w:tcPr>
          <w:p w14:paraId="3917099F">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4787B796">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对专业市场开办方未与场内经营者通过签订协议等方式明确知识产权保护权利和义务的处罚</w:t>
            </w:r>
          </w:p>
        </w:tc>
      </w:tr>
      <w:tr w14:paraId="02F0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6719A0ED">
            <w:pPr>
              <w:rPr>
                <w:rFonts w:hint="eastAsia" w:eastAsiaTheme="minorEastAsia"/>
                <w:vertAlign w:val="baseline"/>
                <w:lang w:val="en-US" w:eastAsia="zh-CN"/>
              </w:rPr>
            </w:pPr>
          </w:p>
        </w:tc>
        <w:tc>
          <w:tcPr>
            <w:tcW w:w="1470" w:type="dxa"/>
            <w:vAlign w:val="center"/>
          </w:tcPr>
          <w:p w14:paraId="1FF9FEB5">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tcPr>
          <w:p w14:paraId="47EB8AAD">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第三十六条第一款 家纺服装、家具家装、电动工具等专业市场开办方应当采取下列措施加强专业市场知识产权保护：</w:t>
            </w:r>
          </w:p>
          <w:p w14:paraId="6CD6A04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（一）制定知识产权保护管理制度，通过与场内经营者签订协议等方式明确知识产权保护权利和义务；</w:t>
            </w:r>
          </w:p>
          <w:p w14:paraId="0296B17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第五十条 专业市场开办方违反本条例第三十六条第一款第一项、第二项规定，有下列情形之一的，由市场监督管理（知识产权）部门责令改正；拒不改正的，处二千元以上一万元以下罚款：</w:t>
            </w:r>
          </w:p>
          <w:p w14:paraId="45BBF975">
            <w:pP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（二）未与场内经营者通过签订协议等方式明确知识产权保护权利和义务；</w:t>
            </w:r>
          </w:p>
        </w:tc>
      </w:tr>
      <w:tr w14:paraId="37D5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1AFD073">
            <w:pPr>
              <w:rPr>
                <w:rFonts w:hint="eastAsia" w:eastAsiaTheme="minorEastAsia"/>
                <w:vertAlign w:val="baseline"/>
                <w:lang w:val="en-US" w:eastAsia="zh-CN"/>
              </w:rPr>
            </w:pPr>
          </w:p>
        </w:tc>
        <w:tc>
          <w:tcPr>
            <w:tcW w:w="1470" w:type="dxa"/>
            <w:vMerge w:val="restart"/>
            <w:vAlign w:val="center"/>
          </w:tcPr>
          <w:p w14:paraId="576E7498">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149A6145">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vAlign w:val="center"/>
          </w:tcPr>
          <w:p w14:paraId="12340F42">
            <w:pPr>
              <w:jc w:val="center"/>
              <w:rPr>
                <w:rFonts w:hint="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处二千元以上四千四百元以下罚款。（含本数）</w:t>
            </w:r>
          </w:p>
        </w:tc>
      </w:tr>
      <w:tr w14:paraId="756A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EB448B9">
            <w:pPr>
              <w:rPr>
                <w:rFonts w:hint="eastAsia" w:eastAsiaTheme="minorEastAsia"/>
                <w:vertAlign w:val="baseline"/>
                <w:lang w:val="en-US" w:eastAsia="zh-CN"/>
              </w:rPr>
            </w:pPr>
          </w:p>
        </w:tc>
        <w:tc>
          <w:tcPr>
            <w:tcW w:w="1470" w:type="dxa"/>
            <w:vMerge w:val="continue"/>
            <w:vAlign w:val="center"/>
          </w:tcPr>
          <w:p w14:paraId="3F465288">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761CAB9A">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vAlign w:val="center"/>
          </w:tcPr>
          <w:p w14:paraId="154445C8">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处四千四百元以上七千六百元以下罚款。（不含本数）</w:t>
            </w:r>
          </w:p>
        </w:tc>
      </w:tr>
      <w:tr w14:paraId="0286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7A999F50">
            <w:pPr>
              <w:rPr>
                <w:rFonts w:hint="eastAsia" w:eastAsiaTheme="minorEastAsia"/>
                <w:vertAlign w:val="baseline"/>
                <w:lang w:val="en-US" w:eastAsia="zh-CN"/>
              </w:rPr>
            </w:pPr>
          </w:p>
        </w:tc>
        <w:tc>
          <w:tcPr>
            <w:tcW w:w="1470" w:type="dxa"/>
            <w:vMerge w:val="continue"/>
            <w:vAlign w:val="center"/>
          </w:tcPr>
          <w:p w14:paraId="4E69BF71">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1C0B3490">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vAlign w:val="center"/>
          </w:tcPr>
          <w:p w14:paraId="2DCD5F8F">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处七千六百元以上一万元以下罚款。（含本数）</w:t>
            </w:r>
          </w:p>
        </w:tc>
      </w:tr>
      <w:tr w14:paraId="02F6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594" w:type="dxa"/>
            <w:vMerge w:val="continue"/>
          </w:tcPr>
          <w:p w14:paraId="4C293FFE">
            <w:pPr>
              <w:rPr>
                <w:rFonts w:hint="eastAsia" w:eastAsiaTheme="minorEastAsia"/>
                <w:vertAlign w:val="baseline"/>
                <w:lang w:val="en-US" w:eastAsia="zh-CN"/>
              </w:rPr>
            </w:pPr>
          </w:p>
        </w:tc>
        <w:tc>
          <w:tcPr>
            <w:tcW w:w="1470" w:type="dxa"/>
            <w:vAlign w:val="center"/>
          </w:tcPr>
          <w:p w14:paraId="7CCECB0F">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11041CD6">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2EB4FB9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立案后改正；</w:t>
            </w:r>
          </w:p>
          <w:p w14:paraId="7C78B1E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危害后果较轻； </w:t>
            </w:r>
          </w:p>
          <w:p w14:paraId="0427675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社会影响较小； </w:t>
            </w:r>
          </w:p>
          <w:p w14:paraId="7537684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500B0BAB">
            <w:pPr>
              <w:keepNext w:val="0"/>
              <w:keepLines w:val="0"/>
              <w:widowControl/>
              <w:suppressLineNumbers w:val="0"/>
              <w:jc w:val="left"/>
            </w:pPr>
            <w:r>
              <w:rPr>
                <w:rFonts w:hint="eastAsia" w:ascii="方正黑体_GBK" w:hAnsi="方正黑体_GBK" w:eastAsia="方正黑体_GBK" w:cs="方正黑体_GBK"/>
                <w:sz w:val="28"/>
                <w:szCs w:val="28"/>
                <w:vertAlign w:val="baseline"/>
                <w:lang w:val="en-US" w:eastAsia="zh-CN"/>
              </w:rPr>
              <w:t>从重情形：</w:t>
            </w:r>
          </w:p>
          <w:p w14:paraId="347ED2C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多次实施违法行为；</w:t>
            </w:r>
          </w:p>
          <w:p w14:paraId="33D08118">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危害后果较重； </w:t>
            </w:r>
          </w:p>
          <w:p w14:paraId="55632EBE">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社会影响较大； </w:t>
            </w:r>
          </w:p>
          <w:p w14:paraId="78B2EDB8">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其他情形。</w:t>
            </w:r>
          </w:p>
          <w:p w14:paraId="195FBA11">
            <w:pPr>
              <w:jc w:val="left"/>
              <w:rPr>
                <w:rFonts w:hint="default"/>
                <w:vertAlign w:val="baseline"/>
                <w:lang w:val="en-US" w:eastAsia="zh-CN"/>
              </w:rPr>
            </w:pPr>
          </w:p>
        </w:tc>
      </w:tr>
      <w:tr w14:paraId="33B0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11860689">
            <w:pPr>
              <w:rPr>
                <w:rFonts w:hint="eastAsia" w:eastAsiaTheme="minorEastAsia"/>
                <w:vertAlign w:val="baseline"/>
                <w:lang w:val="en-US" w:eastAsia="zh-CN"/>
              </w:rPr>
            </w:pPr>
          </w:p>
        </w:tc>
        <w:tc>
          <w:tcPr>
            <w:tcW w:w="1470" w:type="dxa"/>
            <w:vAlign w:val="center"/>
          </w:tcPr>
          <w:p w14:paraId="5204251E">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797489B8">
            <w:pPr>
              <w:rPr>
                <w:rFonts w:hint="eastAsia" w:eastAsiaTheme="minorEastAsia"/>
                <w:vertAlign w:val="baseline"/>
                <w:lang w:val="en-US" w:eastAsia="zh-CN"/>
              </w:rPr>
            </w:pPr>
          </w:p>
        </w:tc>
      </w:tr>
    </w:tbl>
    <w:p w14:paraId="3B5D3F3F">
      <w:pPr>
        <w:rPr>
          <w:rFonts w:hint="eastAsia" w:eastAsiaTheme="minorEastAsia"/>
          <w:lang w:val="en-US" w:eastAsia="zh-CN"/>
        </w:rPr>
      </w:pPr>
    </w:p>
    <w:p w14:paraId="748634D5">
      <w:pPr>
        <w:rPr>
          <w:rFonts w:hint="eastAsia"/>
          <w:lang w:val="en-US" w:eastAsia="zh-CN"/>
        </w:rPr>
      </w:pPr>
      <w:r>
        <w:rPr>
          <w:rFonts w:hint="eastAsia"/>
          <w:lang w:val="en-US" w:eastAsia="zh-CN"/>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46A4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3581181A">
            <w:pPr>
              <w:bidi w:val="0"/>
              <w:rPr>
                <w:rFonts w:hint="eastAsia" w:asciiTheme="minorHAnsi" w:hAnsiTheme="minorHAnsi" w:eastAsiaTheme="minorEastAsia" w:cstheme="minorBidi"/>
                <w:kern w:val="2"/>
                <w:sz w:val="21"/>
                <w:szCs w:val="24"/>
                <w:lang w:val="en-US" w:eastAsia="zh-CN" w:bidi="ar-SA"/>
              </w:rPr>
            </w:pPr>
          </w:p>
          <w:p w14:paraId="34E65746">
            <w:pPr>
              <w:bidi w:val="0"/>
              <w:jc w:val="both"/>
              <w:rPr>
                <w:rFonts w:hint="eastAsia"/>
                <w:lang w:val="en-US" w:eastAsia="zh-CN"/>
              </w:rPr>
            </w:pPr>
            <w:r>
              <w:rPr>
                <w:rFonts w:hint="eastAsia"/>
                <w:lang w:val="en-US" w:eastAsia="zh-CN"/>
              </w:rPr>
              <w:t>序号</w:t>
            </w:r>
          </w:p>
          <w:p w14:paraId="4D6F8045">
            <w:pPr>
              <w:bidi w:val="0"/>
              <w:jc w:val="both"/>
              <w:rPr>
                <w:rFonts w:hint="default"/>
                <w:lang w:val="en-US" w:eastAsia="zh-CN"/>
              </w:rPr>
            </w:pPr>
            <w:r>
              <w:rPr>
                <w:rFonts w:hint="eastAsia"/>
                <w:lang w:val="en-US" w:eastAsia="zh-CN"/>
              </w:rPr>
              <w:t>3</w:t>
            </w:r>
          </w:p>
        </w:tc>
        <w:tc>
          <w:tcPr>
            <w:tcW w:w="1470" w:type="dxa"/>
            <w:vAlign w:val="center"/>
          </w:tcPr>
          <w:p w14:paraId="3F84738F">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12490882">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对专业市场开办方未建立日常巡查制度的处罚</w:t>
            </w:r>
          </w:p>
        </w:tc>
      </w:tr>
      <w:tr w14:paraId="04A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4F047415">
            <w:pPr>
              <w:rPr>
                <w:rFonts w:hint="eastAsia" w:eastAsiaTheme="minorEastAsia"/>
                <w:vertAlign w:val="baseline"/>
                <w:lang w:val="en-US" w:eastAsia="zh-CN"/>
              </w:rPr>
            </w:pPr>
          </w:p>
        </w:tc>
        <w:tc>
          <w:tcPr>
            <w:tcW w:w="1470" w:type="dxa"/>
            <w:vAlign w:val="center"/>
          </w:tcPr>
          <w:p w14:paraId="35CAC3D2">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tcPr>
          <w:p w14:paraId="5024C9E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《南通市知识产权促进和保护条例》</w:t>
            </w:r>
          </w:p>
          <w:p w14:paraId="2BD698C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第三十六条第一款 家纺服装、家具家装、电动工具等专业市场开办方应当采取下列措施加强专业市场知识产权保护：</w:t>
            </w:r>
          </w:p>
          <w:p w14:paraId="77D9B4E6">
            <w:pPr>
              <w:numPr>
                <w:ilvl w:val="0"/>
                <w:numId w:val="0"/>
              </w:num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（二）建立日常巡查制度，发现知识产权侵权行为的，要求经营者停止侵权，并立即报告负有知识产权管理职责的部门；</w:t>
            </w:r>
          </w:p>
          <w:p w14:paraId="2008DD6C">
            <w:pPr>
              <w:numPr>
                <w:ilvl w:val="0"/>
                <w:numId w:val="0"/>
              </w:num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第五十条 专业市场开办方违反本条例第三十六条第一款第一项、第二项规定，有下列情形之一的，由市场监督管理（知识产权）部门责令改正；拒不改正的，处二千元以上一万元以下罚款：</w:t>
            </w:r>
          </w:p>
          <w:p w14:paraId="39DED3EB">
            <w:pPr>
              <w:numPr>
                <w:ilvl w:val="0"/>
                <w:numId w:val="0"/>
              </w:numPr>
              <w:bidi w:val="0"/>
              <w:ind w:firstLine="420" w:firstLineChars="200"/>
              <w:jc w:val="left"/>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（三）未建立日常巡查制度；</w:t>
            </w:r>
          </w:p>
        </w:tc>
      </w:tr>
      <w:tr w14:paraId="34A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30E24915">
            <w:pPr>
              <w:rPr>
                <w:rFonts w:hint="eastAsia" w:eastAsiaTheme="minorEastAsia"/>
                <w:vertAlign w:val="baseline"/>
                <w:lang w:val="en-US" w:eastAsia="zh-CN"/>
              </w:rPr>
            </w:pPr>
          </w:p>
        </w:tc>
        <w:tc>
          <w:tcPr>
            <w:tcW w:w="1470" w:type="dxa"/>
            <w:vMerge w:val="restart"/>
            <w:vAlign w:val="center"/>
          </w:tcPr>
          <w:p w14:paraId="61420475">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4948E79B">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vAlign w:val="center"/>
          </w:tcPr>
          <w:p w14:paraId="39E33821">
            <w:pPr>
              <w:jc w:val="center"/>
              <w:rPr>
                <w:rFonts w:hint="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处二千元以上四千四百元以下罚款。（含本数）</w:t>
            </w:r>
          </w:p>
        </w:tc>
      </w:tr>
      <w:tr w14:paraId="73C3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5157A0B0">
            <w:pPr>
              <w:rPr>
                <w:rFonts w:hint="eastAsia" w:eastAsiaTheme="minorEastAsia"/>
                <w:vertAlign w:val="baseline"/>
                <w:lang w:val="en-US" w:eastAsia="zh-CN"/>
              </w:rPr>
            </w:pPr>
          </w:p>
        </w:tc>
        <w:tc>
          <w:tcPr>
            <w:tcW w:w="1470" w:type="dxa"/>
            <w:vMerge w:val="continue"/>
            <w:vAlign w:val="center"/>
          </w:tcPr>
          <w:p w14:paraId="0339CEF7">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7C62D06E">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vAlign w:val="center"/>
          </w:tcPr>
          <w:p w14:paraId="4991196C">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处四千四百元以上七千六百元以下罚款。（不含本数）</w:t>
            </w:r>
          </w:p>
        </w:tc>
      </w:tr>
      <w:tr w14:paraId="5190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07BF2FE1">
            <w:pPr>
              <w:rPr>
                <w:rFonts w:hint="eastAsia" w:eastAsiaTheme="minorEastAsia"/>
                <w:vertAlign w:val="baseline"/>
                <w:lang w:val="en-US" w:eastAsia="zh-CN"/>
              </w:rPr>
            </w:pPr>
          </w:p>
        </w:tc>
        <w:tc>
          <w:tcPr>
            <w:tcW w:w="1470" w:type="dxa"/>
            <w:vMerge w:val="continue"/>
            <w:vAlign w:val="center"/>
          </w:tcPr>
          <w:p w14:paraId="78F4C4C3">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76B0BC44">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vAlign w:val="center"/>
          </w:tcPr>
          <w:p w14:paraId="5AC7AC49">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处七千六百元以上一万元以下罚款。（含本数）</w:t>
            </w:r>
          </w:p>
        </w:tc>
      </w:tr>
      <w:tr w14:paraId="412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594" w:type="dxa"/>
            <w:vMerge w:val="continue"/>
          </w:tcPr>
          <w:p w14:paraId="5860B157">
            <w:pPr>
              <w:rPr>
                <w:rFonts w:hint="eastAsia" w:eastAsiaTheme="minorEastAsia"/>
                <w:vertAlign w:val="baseline"/>
                <w:lang w:val="en-US" w:eastAsia="zh-CN"/>
              </w:rPr>
            </w:pPr>
          </w:p>
        </w:tc>
        <w:tc>
          <w:tcPr>
            <w:tcW w:w="1470" w:type="dxa"/>
            <w:vAlign w:val="center"/>
          </w:tcPr>
          <w:p w14:paraId="748520D6">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4599F103">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4D93623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立案后改正；</w:t>
            </w:r>
          </w:p>
          <w:p w14:paraId="386FD2FD">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危害后果较轻； </w:t>
            </w:r>
          </w:p>
          <w:p w14:paraId="786D54F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社会影响较小； </w:t>
            </w:r>
          </w:p>
          <w:p w14:paraId="077C47E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5B86BEB6">
            <w:pPr>
              <w:keepNext w:val="0"/>
              <w:keepLines w:val="0"/>
              <w:widowControl/>
              <w:suppressLineNumbers w:val="0"/>
              <w:jc w:val="left"/>
            </w:pPr>
            <w:r>
              <w:rPr>
                <w:rFonts w:hint="eastAsia" w:ascii="方正黑体_GBK" w:hAnsi="方正黑体_GBK" w:eastAsia="方正黑体_GBK" w:cs="方正黑体_GBK"/>
                <w:sz w:val="28"/>
                <w:szCs w:val="28"/>
                <w:vertAlign w:val="baseline"/>
                <w:lang w:val="en-US" w:eastAsia="zh-CN"/>
              </w:rPr>
              <w:t>从重情形：</w:t>
            </w:r>
          </w:p>
          <w:p w14:paraId="5C26D042">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多次实施违法行为；</w:t>
            </w:r>
          </w:p>
          <w:p w14:paraId="46807442">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危害后果较重； </w:t>
            </w:r>
          </w:p>
          <w:p w14:paraId="2ADF29E6">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社会影响较大； </w:t>
            </w:r>
          </w:p>
          <w:p w14:paraId="149D2117">
            <w:pPr>
              <w:bidi w:val="0"/>
              <w:ind w:firstLine="420" w:firstLineChars="200"/>
              <w:jc w:val="left"/>
              <w:rPr>
                <w:rFonts w:hint="default"/>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4</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其他情形。</w:t>
            </w:r>
          </w:p>
        </w:tc>
      </w:tr>
      <w:tr w14:paraId="33E5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655DB4E7">
            <w:pPr>
              <w:rPr>
                <w:rFonts w:hint="eastAsia" w:eastAsiaTheme="minorEastAsia"/>
                <w:vertAlign w:val="baseline"/>
                <w:lang w:val="en-US" w:eastAsia="zh-CN"/>
              </w:rPr>
            </w:pPr>
          </w:p>
        </w:tc>
        <w:tc>
          <w:tcPr>
            <w:tcW w:w="1470" w:type="dxa"/>
            <w:vAlign w:val="center"/>
          </w:tcPr>
          <w:p w14:paraId="4411A5B9">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52957FE5">
            <w:pPr>
              <w:rPr>
                <w:rFonts w:hint="eastAsia" w:eastAsiaTheme="minorEastAsia"/>
                <w:vertAlign w:val="baseline"/>
                <w:lang w:val="en-US" w:eastAsia="zh-CN"/>
              </w:rPr>
            </w:pPr>
          </w:p>
        </w:tc>
      </w:tr>
    </w:tbl>
    <w:p w14:paraId="5DA64036">
      <w:pPr>
        <w:rPr>
          <w:rFonts w:hint="eastAsia" w:eastAsiaTheme="minorEastAsia"/>
          <w:lang w:val="en-US" w:eastAsia="zh-CN"/>
        </w:rPr>
      </w:pPr>
    </w:p>
    <w:p w14:paraId="60B435BE">
      <w:pPr>
        <w:rPr>
          <w:rFonts w:hint="eastAsia"/>
          <w:lang w:val="en-US" w:eastAsia="zh-CN"/>
        </w:rPr>
      </w:pPr>
      <w:r>
        <w:rPr>
          <w:rFonts w:hint="eastAsia"/>
          <w:lang w:val="en-US" w:eastAsia="zh-CN"/>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3D62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0C94A419">
            <w:pPr>
              <w:bidi w:val="0"/>
              <w:rPr>
                <w:rFonts w:hint="eastAsia" w:asciiTheme="minorHAnsi" w:hAnsiTheme="minorHAnsi" w:eastAsiaTheme="minorEastAsia" w:cstheme="minorBidi"/>
                <w:kern w:val="2"/>
                <w:sz w:val="21"/>
                <w:szCs w:val="24"/>
                <w:lang w:val="en-US" w:eastAsia="zh-CN" w:bidi="ar-SA"/>
              </w:rPr>
            </w:pPr>
          </w:p>
          <w:p w14:paraId="4D13737C">
            <w:pPr>
              <w:bidi w:val="0"/>
              <w:jc w:val="both"/>
              <w:rPr>
                <w:rFonts w:hint="eastAsia"/>
                <w:lang w:val="en-US" w:eastAsia="zh-CN"/>
              </w:rPr>
            </w:pPr>
            <w:r>
              <w:rPr>
                <w:rFonts w:hint="eastAsia"/>
                <w:lang w:val="en-US" w:eastAsia="zh-CN"/>
              </w:rPr>
              <w:t>序号</w:t>
            </w:r>
          </w:p>
          <w:p w14:paraId="5217BB3A">
            <w:pPr>
              <w:bidi w:val="0"/>
              <w:jc w:val="both"/>
              <w:rPr>
                <w:rFonts w:hint="default"/>
                <w:lang w:val="en-US" w:eastAsia="zh-CN"/>
              </w:rPr>
            </w:pPr>
            <w:r>
              <w:rPr>
                <w:rFonts w:hint="eastAsia"/>
                <w:lang w:val="en-US" w:eastAsia="zh-CN"/>
              </w:rPr>
              <w:t>4</w:t>
            </w:r>
          </w:p>
        </w:tc>
        <w:tc>
          <w:tcPr>
            <w:tcW w:w="1470" w:type="dxa"/>
            <w:vAlign w:val="center"/>
          </w:tcPr>
          <w:p w14:paraId="1538C327">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32F64D39">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对专业市场开办方发现知识产权侵权行为，未要求经营者停止侵权的处罚</w:t>
            </w:r>
          </w:p>
        </w:tc>
      </w:tr>
      <w:tr w14:paraId="204A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5CBCF834">
            <w:pPr>
              <w:rPr>
                <w:rFonts w:hint="eastAsia" w:eastAsiaTheme="minorEastAsia"/>
                <w:vertAlign w:val="baseline"/>
                <w:lang w:val="en-US" w:eastAsia="zh-CN"/>
              </w:rPr>
            </w:pPr>
          </w:p>
        </w:tc>
        <w:tc>
          <w:tcPr>
            <w:tcW w:w="1470" w:type="dxa"/>
            <w:vAlign w:val="center"/>
          </w:tcPr>
          <w:p w14:paraId="307F782A">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tcPr>
          <w:p w14:paraId="3F7C2F0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《南通市知识产权促进和保护条例》</w:t>
            </w:r>
          </w:p>
          <w:p w14:paraId="2CC5563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第三十六条第一款 家纺服装、家具家装、电动工具等专业市场开办方应当采取下列措施加强专业市场知识产权保护：</w:t>
            </w:r>
          </w:p>
          <w:p w14:paraId="35E21649">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（二）建立日常巡查制度，发现知识产权侵权行为的，要求经营者停止侵权，并立即报告负有知识产权管理职责的部门；</w:t>
            </w:r>
          </w:p>
          <w:p w14:paraId="4149AB0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第五十条 专业市场开办方违反本条例第三十六条第一款第一项、第二项规定，有下列情形之一的，由市场监督管理（知识产权）部门责令改正；拒不改正的，处二千元以上一万元以下罚款：</w:t>
            </w:r>
          </w:p>
          <w:p w14:paraId="1B15DFDF">
            <w:pP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（四）发现知识产权侵权行为，未要求经营者停止侵权；</w:t>
            </w:r>
          </w:p>
        </w:tc>
      </w:tr>
      <w:tr w14:paraId="1390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5CA4A749">
            <w:pPr>
              <w:rPr>
                <w:rFonts w:hint="eastAsia" w:eastAsiaTheme="minorEastAsia"/>
                <w:vertAlign w:val="baseline"/>
                <w:lang w:val="en-US" w:eastAsia="zh-CN"/>
              </w:rPr>
            </w:pPr>
          </w:p>
        </w:tc>
        <w:tc>
          <w:tcPr>
            <w:tcW w:w="1470" w:type="dxa"/>
            <w:vMerge w:val="restart"/>
            <w:vAlign w:val="center"/>
          </w:tcPr>
          <w:p w14:paraId="66942645">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333D3A09">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vAlign w:val="center"/>
          </w:tcPr>
          <w:p w14:paraId="2456EC64">
            <w:pPr>
              <w:jc w:val="center"/>
              <w:rPr>
                <w:rFonts w:hint="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处二千元以上四千四百元以下罚款。（含本数）</w:t>
            </w:r>
          </w:p>
        </w:tc>
      </w:tr>
      <w:tr w14:paraId="7F4B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6B3BD651">
            <w:pPr>
              <w:rPr>
                <w:rFonts w:hint="eastAsia" w:eastAsiaTheme="minorEastAsia"/>
                <w:vertAlign w:val="baseline"/>
                <w:lang w:val="en-US" w:eastAsia="zh-CN"/>
              </w:rPr>
            </w:pPr>
          </w:p>
        </w:tc>
        <w:tc>
          <w:tcPr>
            <w:tcW w:w="1470" w:type="dxa"/>
            <w:vMerge w:val="continue"/>
            <w:vAlign w:val="center"/>
          </w:tcPr>
          <w:p w14:paraId="166BD2AF">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355D8611">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vAlign w:val="center"/>
          </w:tcPr>
          <w:p w14:paraId="55CA39D9">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处四千四百元以上七千六百元以下罚款。（不含本数）</w:t>
            </w:r>
          </w:p>
        </w:tc>
      </w:tr>
      <w:tr w14:paraId="0FAB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D63C376">
            <w:pPr>
              <w:rPr>
                <w:rFonts w:hint="eastAsia" w:eastAsiaTheme="minorEastAsia"/>
                <w:vertAlign w:val="baseline"/>
                <w:lang w:val="en-US" w:eastAsia="zh-CN"/>
              </w:rPr>
            </w:pPr>
          </w:p>
        </w:tc>
        <w:tc>
          <w:tcPr>
            <w:tcW w:w="1470" w:type="dxa"/>
            <w:vMerge w:val="continue"/>
            <w:vAlign w:val="center"/>
          </w:tcPr>
          <w:p w14:paraId="1C336943">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0F82CEB1">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vAlign w:val="center"/>
          </w:tcPr>
          <w:p w14:paraId="176C245C">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处七千六百元以上一万元以下罚款。（含本数）</w:t>
            </w:r>
          </w:p>
        </w:tc>
      </w:tr>
      <w:tr w14:paraId="26EC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594" w:type="dxa"/>
            <w:vMerge w:val="continue"/>
          </w:tcPr>
          <w:p w14:paraId="235E3E28">
            <w:pPr>
              <w:rPr>
                <w:rFonts w:hint="eastAsia" w:eastAsiaTheme="minorEastAsia"/>
                <w:vertAlign w:val="baseline"/>
                <w:lang w:val="en-US" w:eastAsia="zh-CN"/>
              </w:rPr>
            </w:pPr>
          </w:p>
        </w:tc>
        <w:tc>
          <w:tcPr>
            <w:tcW w:w="1470" w:type="dxa"/>
            <w:vAlign w:val="center"/>
          </w:tcPr>
          <w:p w14:paraId="07C4C60A">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30F4B0A3">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7743CAC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立案后改正；</w:t>
            </w:r>
          </w:p>
          <w:p w14:paraId="2FA3266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危害后果较轻； </w:t>
            </w:r>
          </w:p>
          <w:p w14:paraId="13409D5C">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社会影响较小； </w:t>
            </w:r>
          </w:p>
          <w:p w14:paraId="20A2C7FA">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2C34B26D">
            <w:pPr>
              <w:keepNext w:val="0"/>
              <w:keepLines w:val="0"/>
              <w:widowControl/>
              <w:suppressLineNumbers w:val="0"/>
              <w:jc w:val="left"/>
            </w:pPr>
            <w:r>
              <w:rPr>
                <w:rFonts w:hint="eastAsia" w:ascii="方正黑体_GBK" w:hAnsi="方正黑体_GBK" w:eastAsia="方正黑体_GBK" w:cs="方正黑体_GBK"/>
                <w:sz w:val="28"/>
                <w:szCs w:val="28"/>
                <w:vertAlign w:val="baseline"/>
                <w:lang w:val="en-US" w:eastAsia="zh-CN"/>
              </w:rPr>
              <w:t>从重情形：</w:t>
            </w:r>
          </w:p>
          <w:p w14:paraId="56AE18E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多次实施违法行为；</w:t>
            </w:r>
          </w:p>
          <w:p w14:paraId="3E6267C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危害后果较重； </w:t>
            </w:r>
          </w:p>
          <w:p w14:paraId="41D62E19">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社会影响较大； </w:t>
            </w:r>
          </w:p>
          <w:p w14:paraId="5ECD517C">
            <w:pPr>
              <w:bidi w:val="0"/>
              <w:ind w:firstLine="420" w:firstLineChars="200"/>
              <w:jc w:val="left"/>
              <w:rPr>
                <w:rFonts w:hint="default"/>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4</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其他情形。</w:t>
            </w:r>
          </w:p>
        </w:tc>
      </w:tr>
      <w:tr w14:paraId="216A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19C9BDC5">
            <w:pPr>
              <w:rPr>
                <w:rFonts w:hint="eastAsia" w:eastAsiaTheme="minorEastAsia"/>
                <w:vertAlign w:val="baseline"/>
                <w:lang w:val="en-US" w:eastAsia="zh-CN"/>
              </w:rPr>
            </w:pPr>
          </w:p>
        </w:tc>
        <w:tc>
          <w:tcPr>
            <w:tcW w:w="1470" w:type="dxa"/>
            <w:vAlign w:val="center"/>
          </w:tcPr>
          <w:p w14:paraId="37F1AFE6">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5AD380E9">
            <w:pPr>
              <w:rPr>
                <w:rFonts w:hint="eastAsia" w:eastAsiaTheme="minorEastAsia"/>
                <w:vertAlign w:val="baseline"/>
                <w:lang w:val="en-US" w:eastAsia="zh-CN"/>
              </w:rPr>
            </w:pPr>
          </w:p>
        </w:tc>
      </w:tr>
    </w:tbl>
    <w:p w14:paraId="16E8FE7B">
      <w:pPr>
        <w:rPr>
          <w:rFonts w:hint="eastAsia" w:eastAsiaTheme="minorEastAsia"/>
          <w:lang w:val="en-US" w:eastAsia="zh-CN"/>
        </w:rPr>
      </w:pPr>
    </w:p>
    <w:p w14:paraId="684FE8DD">
      <w:pPr>
        <w:rPr>
          <w:rFonts w:hint="eastAsia"/>
          <w:lang w:val="en-US" w:eastAsia="zh-CN"/>
        </w:rPr>
      </w:pPr>
      <w:r>
        <w:rPr>
          <w:rFonts w:hint="eastAsia"/>
          <w:lang w:val="en-US" w:eastAsia="zh-CN"/>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7CBF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7DA89BE8">
            <w:pPr>
              <w:bidi w:val="0"/>
              <w:rPr>
                <w:rFonts w:hint="eastAsia" w:asciiTheme="minorHAnsi" w:hAnsiTheme="minorHAnsi" w:eastAsiaTheme="minorEastAsia" w:cstheme="minorBidi"/>
                <w:kern w:val="2"/>
                <w:sz w:val="21"/>
                <w:szCs w:val="24"/>
                <w:lang w:val="en-US" w:eastAsia="zh-CN" w:bidi="ar-SA"/>
              </w:rPr>
            </w:pPr>
          </w:p>
          <w:p w14:paraId="33B7F7F0">
            <w:pPr>
              <w:bidi w:val="0"/>
              <w:jc w:val="both"/>
              <w:rPr>
                <w:rFonts w:hint="eastAsia"/>
                <w:lang w:val="en-US" w:eastAsia="zh-CN"/>
              </w:rPr>
            </w:pPr>
            <w:r>
              <w:rPr>
                <w:rFonts w:hint="eastAsia"/>
                <w:lang w:val="en-US" w:eastAsia="zh-CN"/>
              </w:rPr>
              <w:t>序号</w:t>
            </w:r>
          </w:p>
          <w:p w14:paraId="4BC2CA27">
            <w:pPr>
              <w:bidi w:val="0"/>
              <w:jc w:val="both"/>
              <w:rPr>
                <w:rFonts w:hint="default"/>
                <w:lang w:val="en-US" w:eastAsia="zh-CN"/>
              </w:rPr>
            </w:pPr>
            <w:r>
              <w:rPr>
                <w:rFonts w:hint="eastAsia"/>
                <w:lang w:val="en-US" w:eastAsia="zh-CN"/>
              </w:rPr>
              <w:t>5</w:t>
            </w:r>
          </w:p>
        </w:tc>
        <w:tc>
          <w:tcPr>
            <w:tcW w:w="1470" w:type="dxa"/>
            <w:vAlign w:val="center"/>
          </w:tcPr>
          <w:p w14:paraId="735C1671">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3F4236AE">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对专业市场开办方发现知识产权侵权行为，未立即报告负有知识产权管理职责的部门的处罚</w:t>
            </w:r>
          </w:p>
        </w:tc>
      </w:tr>
      <w:tr w14:paraId="60BF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0752A6BF">
            <w:pPr>
              <w:rPr>
                <w:rFonts w:hint="eastAsia" w:eastAsiaTheme="minorEastAsia"/>
                <w:vertAlign w:val="baseline"/>
                <w:lang w:val="en-US" w:eastAsia="zh-CN"/>
              </w:rPr>
            </w:pPr>
          </w:p>
        </w:tc>
        <w:tc>
          <w:tcPr>
            <w:tcW w:w="1470" w:type="dxa"/>
            <w:vAlign w:val="center"/>
          </w:tcPr>
          <w:p w14:paraId="055C3AF8">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tcPr>
          <w:p w14:paraId="3D9248F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《南通市知识产权促进和保护条例》</w:t>
            </w:r>
          </w:p>
          <w:p w14:paraId="134B736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第三十六条第一款 家纺服装、家具家装、电动工具等专业市场开办方应当采取下列措施加强专业市场知识产权保护：</w:t>
            </w:r>
          </w:p>
          <w:p w14:paraId="40558236">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（二）建立日常巡查制度，发现知识产权侵权行为的，要求经营者停止侵权，并立即报告负有知识产权管理职责的部门；</w:t>
            </w:r>
          </w:p>
          <w:p w14:paraId="043A067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第五十条  专业市场开办方违反本条例第三十六条第一款第一项、第二项规定，有下列情形之一的，由市场监督管理（知识产权）部门责令改正；拒不改正的，处二千元以上一万元以下罚款：</w:t>
            </w:r>
          </w:p>
          <w:p w14:paraId="14DE27F9">
            <w:pPr>
              <w:bidi w:val="0"/>
              <w:ind w:firstLine="420" w:firstLineChars="200"/>
              <w:jc w:val="left"/>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（五）发现知识产权侵权行为，未立即报告负有知识产权管理职责的部门</w:t>
            </w:r>
          </w:p>
        </w:tc>
      </w:tr>
      <w:tr w14:paraId="1E33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74CD7858">
            <w:pPr>
              <w:rPr>
                <w:rFonts w:hint="eastAsia" w:eastAsiaTheme="minorEastAsia"/>
                <w:vertAlign w:val="baseline"/>
                <w:lang w:val="en-US" w:eastAsia="zh-CN"/>
              </w:rPr>
            </w:pPr>
          </w:p>
        </w:tc>
        <w:tc>
          <w:tcPr>
            <w:tcW w:w="1470" w:type="dxa"/>
            <w:vMerge w:val="restart"/>
            <w:vAlign w:val="center"/>
          </w:tcPr>
          <w:p w14:paraId="4C1D679D">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02A31CC8">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shd w:val="clear" w:color="auto" w:fill="auto"/>
            <w:vAlign w:val="center"/>
          </w:tcPr>
          <w:p w14:paraId="250EC156">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处二千元以上四千四百元以下罚款。（含本数）</w:t>
            </w:r>
          </w:p>
        </w:tc>
      </w:tr>
      <w:tr w14:paraId="118A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33A65C1C">
            <w:pPr>
              <w:rPr>
                <w:rFonts w:hint="eastAsia" w:eastAsiaTheme="minorEastAsia"/>
                <w:vertAlign w:val="baseline"/>
                <w:lang w:val="en-US" w:eastAsia="zh-CN"/>
              </w:rPr>
            </w:pPr>
          </w:p>
        </w:tc>
        <w:tc>
          <w:tcPr>
            <w:tcW w:w="1470" w:type="dxa"/>
            <w:vMerge w:val="continue"/>
            <w:vAlign w:val="center"/>
          </w:tcPr>
          <w:p w14:paraId="5878182D">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0229798D">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shd w:val="clear" w:color="auto" w:fill="auto"/>
            <w:vAlign w:val="center"/>
          </w:tcPr>
          <w:p w14:paraId="3304C2F2">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处四千四百元以上七千六百元以下罚款。（不含本数）</w:t>
            </w:r>
          </w:p>
        </w:tc>
      </w:tr>
      <w:tr w14:paraId="092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2360E361">
            <w:pPr>
              <w:rPr>
                <w:rFonts w:hint="eastAsia" w:eastAsiaTheme="minorEastAsia"/>
                <w:vertAlign w:val="baseline"/>
                <w:lang w:val="en-US" w:eastAsia="zh-CN"/>
              </w:rPr>
            </w:pPr>
          </w:p>
        </w:tc>
        <w:tc>
          <w:tcPr>
            <w:tcW w:w="1470" w:type="dxa"/>
            <w:vMerge w:val="continue"/>
            <w:vAlign w:val="center"/>
          </w:tcPr>
          <w:p w14:paraId="5A694EBC">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7CC40756">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shd w:val="clear" w:color="auto" w:fill="auto"/>
            <w:vAlign w:val="center"/>
          </w:tcPr>
          <w:p w14:paraId="7865C3E7">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处七千六百元以上一万元以下罚款。（含本数）</w:t>
            </w:r>
          </w:p>
        </w:tc>
      </w:tr>
      <w:tr w14:paraId="07D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594" w:type="dxa"/>
            <w:vMerge w:val="continue"/>
          </w:tcPr>
          <w:p w14:paraId="78C4D0F0">
            <w:pPr>
              <w:rPr>
                <w:rFonts w:hint="eastAsia" w:eastAsiaTheme="minorEastAsia"/>
                <w:vertAlign w:val="baseline"/>
                <w:lang w:val="en-US" w:eastAsia="zh-CN"/>
              </w:rPr>
            </w:pPr>
          </w:p>
        </w:tc>
        <w:tc>
          <w:tcPr>
            <w:tcW w:w="1470" w:type="dxa"/>
            <w:vAlign w:val="center"/>
          </w:tcPr>
          <w:p w14:paraId="4D6E584C">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6B6C37B1">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581BB03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立案后改正；</w:t>
            </w:r>
          </w:p>
          <w:p w14:paraId="4D7FFB56">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危害后果较轻； </w:t>
            </w:r>
          </w:p>
          <w:p w14:paraId="19C0072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社会影响较小； </w:t>
            </w:r>
          </w:p>
          <w:p w14:paraId="204D1B1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0EF9FE9E">
            <w:pPr>
              <w:keepNext w:val="0"/>
              <w:keepLines w:val="0"/>
              <w:widowControl/>
              <w:suppressLineNumbers w:val="0"/>
              <w:jc w:val="left"/>
            </w:pPr>
            <w:r>
              <w:rPr>
                <w:rFonts w:hint="eastAsia" w:ascii="方正黑体_GBK" w:hAnsi="方正黑体_GBK" w:eastAsia="方正黑体_GBK" w:cs="方正黑体_GBK"/>
                <w:sz w:val="28"/>
                <w:szCs w:val="28"/>
                <w:vertAlign w:val="baseline"/>
                <w:lang w:val="en-US" w:eastAsia="zh-CN"/>
              </w:rPr>
              <w:t>从重情形：</w:t>
            </w:r>
          </w:p>
          <w:p w14:paraId="68519B35">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1.</w:t>
            </w:r>
            <w:r>
              <w:rPr>
                <w:rFonts w:hint="eastAsia" w:ascii="方正楷体_GB2312" w:hAnsi="方正楷体_GB2312" w:eastAsia="方正楷体_GB2312" w:cs="方正楷体_GB2312"/>
                <w:kern w:val="2"/>
                <w:sz w:val="21"/>
                <w:szCs w:val="24"/>
                <w:vertAlign w:val="baseline"/>
                <w:lang w:val="en-US" w:eastAsia="zh-CN" w:bidi="ar-SA"/>
              </w:rPr>
              <w:t>多次实施违法行为；</w:t>
            </w:r>
          </w:p>
          <w:p w14:paraId="5187E757">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危害后果较重； </w:t>
            </w:r>
          </w:p>
          <w:p w14:paraId="29DB9A1A">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 xml:space="preserve">社会影响较大； </w:t>
            </w:r>
          </w:p>
          <w:p w14:paraId="5CDDB596">
            <w:pPr>
              <w:bidi w:val="0"/>
              <w:ind w:firstLine="420" w:firstLineChars="200"/>
              <w:jc w:val="left"/>
              <w:rPr>
                <w:rFonts w:hint="default"/>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4</w:t>
            </w:r>
            <w:r>
              <w:rPr>
                <w:rFonts w:hint="default" w:ascii="方正楷体_GB2312" w:hAnsi="方正楷体_GB2312" w:eastAsia="方正楷体_GB2312" w:cs="方正楷体_GB2312"/>
                <w:kern w:val="2"/>
                <w:sz w:val="21"/>
                <w:szCs w:val="24"/>
                <w:vertAlign w:val="baseline"/>
                <w:lang w:val="en-US" w:eastAsia="zh-CN" w:bidi="ar-SA"/>
              </w:rPr>
              <w:t>.</w:t>
            </w:r>
            <w:r>
              <w:rPr>
                <w:rFonts w:hint="eastAsia" w:ascii="方正楷体_GB2312" w:hAnsi="方正楷体_GB2312" w:eastAsia="方正楷体_GB2312" w:cs="方正楷体_GB2312"/>
                <w:kern w:val="2"/>
                <w:sz w:val="21"/>
                <w:szCs w:val="24"/>
                <w:vertAlign w:val="baseline"/>
                <w:lang w:val="en-US" w:eastAsia="zh-CN" w:bidi="ar-SA"/>
              </w:rPr>
              <w:t>其他情形。</w:t>
            </w:r>
          </w:p>
        </w:tc>
      </w:tr>
      <w:tr w14:paraId="6B3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4E979FF3">
            <w:pPr>
              <w:rPr>
                <w:rFonts w:hint="eastAsia" w:eastAsiaTheme="minorEastAsia"/>
                <w:vertAlign w:val="baseline"/>
                <w:lang w:val="en-US" w:eastAsia="zh-CN"/>
              </w:rPr>
            </w:pPr>
          </w:p>
        </w:tc>
        <w:tc>
          <w:tcPr>
            <w:tcW w:w="1470" w:type="dxa"/>
            <w:vAlign w:val="center"/>
          </w:tcPr>
          <w:p w14:paraId="554A4A7E">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67B17C77">
            <w:pPr>
              <w:rPr>
                <w:rFonts w:hint="eastAsia" w:eastAsiaTheme="minorEastAsia"/>
                <w:vertAlign w:val="baseline"/>
                <w:lang w:val="en-US" w:eastAsia="zh-CN"/>
              </w:rPr>
            </w:pPr>
          </w:p>
        </w:tc>
      </w:tr>
    </w:tbl>
    <w:p w14:paraId="33011C9B">
      <w:pPr>
        <w:rPr>
          <w:rFonts w:hint="eastAsia" w:eastAsiaTheme="minorEastAsia"/>
          <w:lang w:val="en-US" w:eastAsia="zh-CN"/>
        </w:rPr>
      </w:pPr>
    </w:p>
    <w:p w14:paraId="15C82E43">
      <w:pPr>
        <w:rPr>
          <w:rFonts w:hint="eastAsia"/>
          <w:lang w:val="en-US" w:eastAsia="zh-CN"/>
        </w:rPr>
      </w:pPr>
      <w:r>
        <w:rPr>
          <w:rFonts w:hint="eastAsia"/>
          <w:lang w:val="en-US" w:eastAsia="zh-CN"/>
        </w:rPr>
        <w:br w:type="page"/>
      </w:r>
    </w:p>
    <w:p w14:paraId="5699EFFE">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r>
        <w:rPr>
          <w:rFonts w:hint="eastAsia"/>
          <w:lang w:val="en-US" w:eastAsia="zh-CN"/>
        </w:rPr>
        <w:t>《南通市网络餐饮服务食品安全监督管理条例》行政处罚</w:t>
      </w:r>
    </w:p>
    <w:p w14:paraId="44824C03">
      <w:pPr>
        <w:pStyle w:val="3"/>
        <w:keepNext/>
        <w:keepLines/>
        <w:pageBreakBefore w:val="0"/>
        <w:widowControl w:val="0"/>
        <w:kinsoku/>
        <w:wordWrap/>
        <w:overflowPunct/>
        <w:topLinePunct w:val="0"/>
        <w:autoSpaceDE/>
        <w:autoSpaceDN/>
        <w:bidi w:val="0"/>
        <w:adjustRightInd/>
        <w:snapToGrid/>
        <w:spacing w:before="0" w:after="0" w:line="560" w:lineRule="exact"/>
        <w:textAlignment w:val="auto"/>
      </w:pPr>
      <w:r>
        <w:rPr>
          <w:rFonts w:hint="eastAsia"/>
          <w:lang w:val="en-US" w:eastAsia="zh-CN"/>
        </w:rPr>
        <w:t>裁量权基准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4E8E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4A838643"/>
          <w:p w14:paraId="467FAB04">
            <w:r>
              <w:rPr>
                <w:rFonts w:hint="eastAsia"/>
              </w:rPr>
              <w:t>序号</w:t>
            </w:r>
          </w:p>
          <w:p w14:paraId="7C105BC5">
            <w:pPr>
              <w:rPr>
                <w:rFonts w:hint="eastAsia" w:eastAsiaTheme="minorEastAsia"/>
                <w:lang w:eastAsia="zh-CN"/>
              </w:rPr>
            </w:pPr>
            <w:r>
              <w:rPr>
                <w:rFonts w:hint="eastAsia"/>
                <w:lang w:val="en-US" w:eastAsia="zh-CN"/>
              </w:rPr>
              <w:t>1</w:t>
            </w:r>
          </w:p>
        </w:tc>
        <w:tc>
          <w:tcPr>
            <w:tcW w:w="1470" w:type="dxa"/>
            <w:vAlign w:val="center"/>
          </w:tcPr>
          <w:p w14:paraId="0A28F929">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违法行为</w:t>
            </w:r>
          </w:p>
        </w:tc>
        <w:tc>
          <w:tcPr>
            <w:tcW w:w="6458" w:type="dxa"/>
            <w:gridSpan w:val="2"/>
            <w:vAlign w:val="center"/>
          </w:tcPr>
          <w:p w14:paraId="19AACF82">
            <w:pPr>
              <w:jc w:val="center"/>
            </w:pPr>
            <w:r>
              <w:rPr>
                <w:rFonts w:hint="eastAsia" w:ascii="方正楷体_GB2312" w:hAnsi="方正楷体_GB2312" w:eastAsia="方正楷体_GB2312" w:cs="方正楷体_GB2312"/>
              </w:rPr>
              <w:t>对小餐饮入网餐饮服务提供者未公示电子营业执照、小餐饮信息公示卡的处罚</w:t>
            </w:r>
          </w:p>
        </w:tc>
      </w:tr>
      <w:tr w14:paraId="1CB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697C9845"/>
        </w:tc>
        <w:tc>
          <w:tcPr>
            <w:tcW w:w="1470" w:type="dxa"/>
            <w:vAlign w:val="center"/>
          </w:tcPr>
          <w:p w14:paraId="55A19FDE">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法定依据</w:t>
            </w:r>
          </w:p>
        </w:tc>
        <w:tc>
          <w:tcPr>
            <w:tcW w:w="6458" w:type="dxa"/>
            <w:gridSpan w:val="2"/>
          </w:tcPr>
          <w:p w14:paraId="7D84474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《南通市网络餐饮服务食品安全监督管理条例》</w:t>
            </w:r>
          </w:p>
          <w:p w14:paraId="76447EED">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第六条第一款 入网餐饮服务提供者应当在第三方平台、自建网站的经营活动主页面显著位置公示名称、地址、电子营业执照、食品经营许可证或者小餐饮信息公示卡、食品安全量化分级信息，同时鼓励公示有无堂食、实体经营门店照片、食品加工制作场所照片等信息，相关信息应当真实、完整、清晰。</w:t>
            </w:r>
          </w:p>
          <w:p w14:paraId="56A27B70">
            <w:pPr>
              <w:bidi w:val="0"/>
              <w:ind w:firstLine="420" w:firstLineChars="200"/>
              <w:jc w:val="left"/>
            </w:pPr>
            <w:r>
              <w:rPr>
                <w:rFonts w:hint="eastAsia" w:ascii="方正楷体_GB2312" w:hAnsi="方正楷体_GB2312" w:eastAsia="方正楷体_GB2312" w:cs="方正楷体_GB2312"/>
                <w:kern w:val="2"/>
                <w:sz w:val="21"/>
                <w:szCs w:val="24"/>
                <w:vertAlign w:val="baseline"/>
                <w:lang w:val="en-US" w:eastAsia="zh-CN" w:bidi="ar-SA"/>
              </w:rPr>
              <w:t>第十五条第一款  违反本条例第六条第一款规定，小餐饮未公示电子营业执照、小餐饮信息公示卡的，由食品安全监督管理部门责令改正；拒不改正的，处二百元以上一千元以下罚款。</w:t>
            </w:r>
          </w:p>
        </w:tc>
      </w:tr>
      <w:tr w14:paraId="094F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3FAE7B2B"/>
        </w:tc>
        <w:tc>
          <w:tcPr>
            <w:tcW w:w="1470" w:type="dxa"/>
            <w:vMerge w:val="restart"/>
            <w:vAlign w:val="center"/>
          </w:tcPr>
          <w:p w14:paraId="2638143F">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裁量阶次具体标准</w:t>
            </w:r>
          </w:p>
        </w:tc>
        <w:tc>
          <w:tcPr>
            <w:tcW w:w="930" w:type="dxa"/>
            <w:vAlign w:val="center"/>
          </w:tcPr>
          <w:p w14:paraId="28CE040D">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w:t>
            </w:r>
          </w:p>
        </w:tc>
        <w:tc>
          <w:tcPr>
            <w:tcW w:w="5528" w:type="dxa"/>
            <w:vAlign w:val="center"/>
          </w:tcPr>
          <w:p w14:paraId="19C18EF3">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处200元以上440元以下的罚款。（含本数）</w:t>
            </w:r>
          </w:p>
        </w:tc>
      </w:tr>
      <w:tr w14:paraId="1164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35831CF7"/>
        </w:tc>
        <w:tc>
          <w:tcPr>
            <w:tcW w:w="1470" w:type="dxa"/>
            <w:vMerge w:val="continue"/>
            <w:vAlign w:val="center"/>
          </w:tcPr>
          <w:p w14:paraId="60B39433">
            <w:pPr>
              <w:jc w:val="center"/>
              <w:rPr>
                <w:rFonts w:ascii="方正黑体_GBK" w:hAnsi="方正黑体_GBK" w:eastAsia="方正黑体_GBK" w:cs="方正黑体_GBK"/>
                <w:sz w:val="28"/>
                <w:szCs w:val="28"/>
              </w:rPr>
            </w:pPr>
          </w:p>
        </w:tc>
        <w:tc>
          <w:tcPr>
            <w:tcW w:w="930" w:type="dxa"/>
            <w:vAlign w:val="center"/>
          </w:tcPr>
          <w:p w14:paraId="2B58F593">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一般</w:t>
            </w:r>
          </w:p>
        </w:tc>
        <w:tc>
          <w:tcPr>
            <w:tcW w:w="5528" w:type="dxa"/>
            <w:vAlign w:val="center"/>
          </w:tcPr>
          <w:p w14:paraId="5F299854">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处440元以上760元以下的罚款。（不含本数）</w:t>
            </w:r>
          </w:p>
        </w:tc>
      </w:tr>
      <w:tr w14:paraId="34E0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730F8B0C"/>
        </w:tc>
        <w:tc>
          <w:tcPr>
            <w:tcW w:w="1470" w:type="dxa"/>
            <w:vMerge w:val="continue"/>
            <w:vAlign w:val="center"/>
          </w:tcPr>
          <w:p w14:paraId="1F4ADC04">
            <w:pPr>
              <w:jc w:val="center"/>
              <w:rPr>
                <w:rFonts w:ascii="方正黑体_GBK" w:hAnsi="方正黑体_GBK" w:eastAsia="方正黑体_GBK" w:cs="方正黑体_GBK"/>
                <w:sz w:val="28"/>
                <w:szCs w:val="28"/>
              </w:rPr>
            </w:pPr>
          </w:p>
        </w:tc>
        <w:tc>
          <w:tcPr>
            <w:tcW w:w="930" w:type="dxa"/>
            <w:vAlign w:val="center"/>
          </w:tcPr>
          <w:p w14:paraId="641E0633">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w:t>
            </w:r>
          </w:p>
        </w:tc>
        <w:tc>
          <w:tcPr>
            <w:tcW w:w="5528" w:type="dxa"/>
            <w:vAlign w:val="center"/>
          </w:tcPr>
          <w:p w14:paraId="59C62C4A">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处760元以上1000元以下的罚款。（含本数）</w:t>
            </w:r>
          </w:p>
        </w:tc>
      </w:tr>
      <w:tr w14:paraId="6F4B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94" w:type="dxa"/>
            <w:vMerge w:val="continue"/>
          </w:tcPr>
          <w:p w14:paraId="24BBBBBD"/>
        </w:tc>
        <w:tc>
          <w:tcPr>
            <w:tcW w:w="1470" w:type="dxa"/>
            <w:vAlign w:val="center"/>
          </w:tcPr>
          <w:p w14:paraId="662DFC6C">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适用条件</w:t>
            </w:r>
          </w:p>
        </w:tc>
        <w:tc>
          <w:tcPr>
            <w:tcW w:w="6458" w:type="dxa"/>
            <w:gridSpan w:val="2"/>
          </w:tcPr>
          <w:p w14:paraId="7854B3FF">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从轻情形：</w:t>
            </w:r>
          </w:p>
          <w:p w14:paraId="4B43DA6C">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1.违法行为持续时间较短；</w:t>
            </w:r>
          </w:p>
          <w:p w14:paraId="2C16B7E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2.及时改正；</w:t>
            </w:r>
          </w:p>
          <w:p w14:paraId="5C72D75C">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3.社会影响较小；</w:t>
            </w:r>
          </w:p>
          <w:p w14:paraId="7FB18772">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5DF7F9F6">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从重情形：</w:t>
            </w:r>
          </w:p>
          <w:p w14:paraId="45D5D18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1.违法行为持续时间较长；</w:t>
            </w:r>
          </w:p>
          <w:p w14:paraId="3CB072E0">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2.社会影响较大；</w:t>
            </w:r>
          </w:p>
          <w:p w14:paraId="421192EE">
            <w:pPr>
              <w:bidi w:val="0"/>
              <w:ind w:firstLine="420" w:firstLineChars="200"/>
              <w:jc w:val="left"/>
            </w:pPr>
            <w:r>
              <w:rPr>
                <w:rFonts w:hint="eastAsia" w:ascii="方正楷体_GB2312" w:hAnsi="方正楷体_GB2312" w:eastAsia="方正楷体_GB2312" w:cs="方正楷体_GB2312"/>
                <w:kern w:val="2"/>
                <w:sz w:val="21"/>
                <w:szCs w:val="24"/>
                <w:vertAlign w:val="baseline"/>
                <w:lang w:val="en-US" w:eastAsia="zh-CN" w:bidi="ar-SA"/>
              </w:rPr>
              <w:t>3.其他情形。</w:t>
            </w:r>
          </w:p>
        </w:tc>
      </w:tr>
      <w:tr w14:paraId="03FF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4" w:type="dxa"/>
            <w:vMerge w:val="continue"/>
          </w:tcPr>
          <w:p w14:paraId="06DF14F0"/>
        </w:tc>
        <w:tc>
          <w:tcPr>
            <w:tcW w:w="1470" w:type="dxa"/>
            <w:vAlign w:val="center"/>
          </w:tcPr>
          <w:p w14:paraId="25A1EC88">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c>
          <w:tcPr>
            <w:tcW w:w="6458" w:type="dxa"/>
            <w:gridSpan w:val="2"/>
          </w:tcPr>
          <w:p w14:paraId="3920543E"/>
        </w:tc>
      </w:tr>
    </w:tbl>
    <w:p w14:paraId="13222713">
      <w:r>
        <w:rPr>
          <w:rFonts w:hint="eastAsia"/>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1CB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0107D8DE"/>
          <w:p w14:paraId="0215D64D">
            <w:r>
              <w:rPr>
                <w:rFonts w:hint="eastAsia"/>
              </w:rPr>
              <w:t>序号</w:t>
            </w:r>
          </w:p>
          <w:p w14:paraId="270D1C53">
            <w:pPr>
              <w:rPr>
                <w:rFonts w:hint="eastAsia" w:eastAsiaTheme="minorEastAsia"/>
                <w:lang w:eastAsia="zh-CN"/>
              </w:rPr>
            </w:pPr>
            <w:r>
              <w:rPr>
                <w:rFonts w:hint="eastAsia"/>
                <w:lang w:val="en-US" w:eastAsia="zh-CN"/>
              </w:rPr>
              <w:t>2</w:t>
            </w:r>
          </w:p>
        </w:tc>
        <w:tc>
          <w:tcPr>
            <w:tcW w:w="1470" w:type="dxa"/>
            <w:vAlign w:val="center"/>
          </w:tcPr>
          <w:p w14:paraId="1AD8A796">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违法行为</w:t>
            </w:r>
          </w:p>
        </w:tc>
        <w:tc>
          <w:tcPr>
            <w:tcW w:w="6458" w:type="dxa"/>
            <w:gridSpan w:val="2"/>
            <w:vAlign w:val="center"/>
          </w:tcPr>
          <w:p w14:paraId="31938B7F">
            <w:pPr>
              <w:jc w:val="center"/>
            </w:pPr>
            <w:r>
              <w:rPr>
                <w:rFonts w:hint="eastAsia" w:ascii="方正楷体_GB2312" w:hAnsi="方正楷体_GB2312" w:eastAsia="方正楷体_GB2312" w:cs="方正楷体_GB2312"/>
              </w:rPr>
              <w:t>对除了小餐饮以外的其他入网餐饮服务提供者未公示电子营业执照、食品经营许可证的处罚</w:t>
            </w:r>
          </w:p>
        </w:tc>
      </w:tr>
      <w:tr w14:paraId="2F1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44FAB1DB"/>
        </w:tc>
        <w:tc>
          <w:tcPr>
            <w:tcW w:w="1470" w:type="dxa"/>
            <w:vAlign w:val="center"/>
          </w:tcPr>
          <w:p w14:paraId="0F543F83">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法定依据</w:t>
            </w:r>
          </w:p>
        </w:tc>
        <w:tc>
          <w:tcPr>
            <w:tcW w:w="6458" w:type="dxa"/>
            <w:gridSpan w:val="2"/>
          </w:tcPr>
          <w:p w14:paraId="38003C28">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《南通市网络餐饮服务食品安全监督管理条例》</w:t>
            </w:r>
          </w:p>
          <w:p w14:paraId="4EF9672C">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第六条第一款 入网餐饮服务提供者应当在第三方平台、自建网站的经营活动主页面显著位置公示名称、地址、电子营业执照、食品经营许可证或者小餐饮信息公示卡、食品安全量化分级信息，同时鼓励公示有无堂食、实体经营门店照片、食品加工制作场所照片等信息，相关信息应当真实、完整、清晰。</w:t>
            </w:r>
          </w:p>
          <w:p w14:paraId="786C5B00">
            <w:pPr>
              <w:bidi w:val="0"/>
              <w:ind w:firstLine="420" w:firstLineChars="200"/>
              <w:jc w:val="left"/>
              <w:rPr>
                <w:rFonts w:ascii="方正仿宋_GBK" w:hAnsi="Times New Roman" w:eastAsia="方正仿宋_GBK"/>
                <w:color w:val="000000" w:themeColor="text1"/>
                <w:kern w:val="2"/>
                <w:sz w:val="21"/>
                <w:szCs w:val="21"/>
                <w14:textFill>
                  <w14:solidFill>
                    <w14:schemeClr w14:val="tx1"/>
                  </w14:solidFill>
                </w14:textFill>
              </w:rPr>
            </w:pPr>
            <w:r>
              <w:rPr>
                <w:rFonts w:hint="eastAsia" w:ascii="方正楷体_GB2312" w:hAnsi="方正楷体_GB2312" w:eastAsia="方正楷体_GB2312" w:cs="方正楷体_GB2312"/>
                <w:kern w:val="2"/>
                <w:sz w:val="21"/>
                <w:szCs w:val="24"/>
                <w:vertAlign w:val="baseline"/>
                <w:lang w:val="en-US" w:eastAsia="zh-CN" w:bidi="ar-SA"/>
              </w:rPr>
              <w:t>第十五条第二款  违反本条例第六条第一款规定，其他入网餐饮服务提供者未公示电子营业执照、食品经营许可证的，由食品安全监督管理部门责令限期改正，可以处一万元以下罚款。</w:t>
            </w:r>
          </w:p>
        </w:tc>
      </w:tr>
      <w:tr w14:paraId="48E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35B7E12"/>
        </w:tc>
        <w:tc>
          <w:tcPr>
            <w:tcW w:w="1470" w:type="dxa"/>
            <w:vMerge w:val="restart"/>
            <w:vAlign w:val="center"/>
          </w:tcPr>
          <w:p w14:paraId="572ED7EA">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裁量阶次具体标准</w:t>
            </w:r>
          </w:p>
        </w:tc>
        <w:tc>
          <w:tcPr>
            <w:tcW w:w="930" w:type="dxa"/>
            <w:vAlign w:val="center"/>
          </w:tcPr>
          <w:p w14:paraId="512EA25D">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w:t>
            </w:r>
          </w:p>
        </w:tc>
        <w:tc>
          <w:tcPr>
            <w:tcW w:w="5528" w:type="dxa"/>
            <w:vAlign w:val="center"/>
          </w:tcPr>
          <w:p w14:paraId="48DF6379">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可以处3000元以下的罚款。（含本数）</w:t>
            </w:r>
          </w:p>
        </w:tc>
      </w:tr>
      <w:tr w14:paraId="69A5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005E24E5"/>
        </w:tc>
        <w:tc>
          <w:tcPr>
            <w:tcW w:w="1470" w:type="dxa"/>
            <w:vMerge w:val="continue"/>
            <w:vAlign w:val="center"/>
          </w:tcPr>
          <w:p w14:paraId="61FCCADE">
            <w:pPr>
              <w:jc w:val="center"/>
              <w:rPr>
                <w:rFonts w:ascii="方正黑体_GBK" w:hAnsi="方正黑体_GBK" w:eastAsia="方正黑体_GBK" w:cs="方正黑体_GBK"/>
                <w:sz w:val="28"/>
                <w:szCs w:val="28"/>
              </w:rPr>
            </w:pPr>
          </w:p>
        </w:tc>
        <w:tc>
          <w:tcPr>
            <w:tcW w:w="930" w:type="dxa"/>
            <w:vAlign w:val="center"/>
          </w:tcPr>
          <w:p w14:paraId="7C3DCCC1">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一般</w:t>
            </w:r>
          </w:p>
        </w:tc>
        <w:tc>
          <w:tcPr>
            <w:tcW w:w="5528" w:type="dxa"/>
            <w:vAlign w:val="center"/>
          </w:tcPr>
          <w:p w14:paraId="37CC4B66">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处3000元以上7000元以下的罚款。（不含本数）</w:t>
            </w:r>
          </w:p>
        </w:tc>
      </w:tr>
      <w:tr w14:paraId="18F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6775B992"/>
        </w:tc>
        <w:tc>
          <w:tcPr>
            <w:tcW w:w="1470" w:type="dxa"/>
            <w:vMerge w:val="continue"/>
            <w:vAlign w:val="center"/>
          </w:tcPr>
          <w:p w14:paraId="1267C3F9">
            <w:pPr>
              <w:jc w:val="center"/>
              <w:rPr>
                <w:rFonts w:ascii="方正黑体_GBK" w:hAnsi="方正黑体_GBK" w:eastAsia="方正黑体_GBK" w:cs="方正黑体_GBK"/>
                <w:sz w:val="28"/>
                <w:szCs w:val="28"/>
              </w:rPr>
            </w:pPr>
          </w:p>
        </w:tc>
        <w:tc>
          <w:tcPr>
            <w:tcW w:w="930" w:type="dxa"/>
            <w:vAlign w:val="center"/>
          </w:tcPr>
          <w:p w14:paraId="58F629A7">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w:t>
            </w:r>
          </w:p>
        </w:tc>
        <w:tc>
          <w:tcPr>
            <w:tcW w:w="5528" w:type="dxa"/>
            <w:vAlign w:val="center"/>
          </w:tcPr>
          <w:p w14:paraId="44BC9106">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处7000元以上1万元以下的罚款。（含本数）</w:t>
            </w:r>
          </w:p>
        </w:tc>
      </w:tr>
      <w:tr w14:paraId="7041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594" w:type="dxa"/>
            <w:vMerge w:val="continue"/>
          </w:tcPr>
          <w:p w14:paraId="68BD8C14"/>
        </w:tc>
        <w:tc>
          <w:tcPr>
            <w:tcW w:w="1470" w:type="dxa"/>
            <w:vAlign w:val="center"/>
          </w:tcPr>
          <w:p w14:paraId="0D1816F6">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适用条件</w:t>
            </w:r>
          </w:p>
        </w:tc>
        <w:tc>
          <w:tcPr>
            <w:tcW w:w="6458" w:type="dxa"/>
            <w:gridSpan w:val="2"/>
          </w:tcPr>
          <w:p w14:paraId="67839212">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从轻情形：</w:t>
            </w:r>
          </w:p>
          <w:p w14:paraId="7A519B50">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1.违法行为持续时间较短；</w:t>
            </w:r>
          </w:p>
          <w:p w14:paraId="1D7F8A5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2.及时改正；</w:t>
            </w:r>
          </w:p>
          <w:p w14:paraId="10F835A9">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3.社会影响较小；</w:t>
            </w:r>
          </w:p>
          <w:p w14:paraId="33BCEE2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4.其他情形。</w:t>
            </w:r>
          </w:p>
          <w:p w14:paraId="4E31498D">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从重情形：</w:t>
            </w:r>
          </w:p>
          <w:p w14:paraId="779EB94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1.违法行为持续时间较长；</w:t>
            </w:r>
          </w:p>
          <w:p w14:paraId="3AB51C54">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2.社会影响较大；</w:t>
            </w:r>
          </w:p>
          <w:p w14:paraId="63E88E7F">
            <w:pPr>
              <w:bidi w:val="0"/>
              <w:ind w:firstLine="420" w:firstLineChars="200"/>
              <w:jc w:val="left"/>
            </w:pPr>
            <w:r>
              <w:rPr>
                <w:rFonts w:hint="eastAsia" w:ascii="方正楷体_GB2312" w:hAnsi="方正楷体_GB2312" w:eastAsia="方正楷体_GB2312" w:cs="方正楷体_GB2312"/>
                <w:kern w:val="2"/>
                <w:sz w:val="21"/>
                <w:szCs w:val="24"/>
                <w:vertAlign w:val="baseline"/>
                <w:lang w:val="en-US" w:eastAsia="zh-CN" w:bidi="ar-SA"/>
              </w:rPr>
              <w:t>3.其他情形。</w:t>
            </w:r>
          </w:p>
        </w:tc>
      </w:tr>
      <w:tr w14:paraId="69B0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7FA7D1D3"/>
        </w:tc>
        <w:tc>
          <w:tcPr>
            <w:tcW w:w="1470" w:type="dxa"/>
            <w:vAlign w:val="center"/>
          </w:tcPr>
          <w:p w14:paraId="5A14B179">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c>
          <w:tcPr>
            <w:tcW w:w="6458" w:type="dxa"/>
            <w:gridSpan w:val="2"/>
          </w:tcPr>
          <w:p w14:paraId="43EB93FA"/>
        </w:tc>
      </w:tr>
    </w:tbl>
    <w:p w14:paraId="7C5CB2CD"/>
    <w:p w14:paraId="4EB548FD">
      <w:r>
        <w:rPr>
          <w:rFonts w:hint="eastAsia"/>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466A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18DDA740"/>
          <w:p w14:paraId="3C0ECA42">
            <w:r>
              <w:rPr>
                <w:rFonts w:hint="eastAsia"/>
              </w:rPr>
              <w:t>序号</w:t>
            </w:r>
          </w:p>
          <w:p w14:paraId="7EF8DDBB">
            <w:pPr>
              <w:rPr>
                <w:rFonts w:hint="eastAsia" w:eastAsiaTheme="minorEastAsia"/>
                <w:lang w:eastAsia="zh-CN"/>
              </w:rPr>
            </w:pPr>
            <w:r>
              <w:rPr>
                <w:rFonts w:hint="eastAsia"/>
                <w:lang w:val="en-US" w:eastAsia="zh-CN"/>
              </w:rPr>
              <w:t>3</w:t>
            </w:r>
          </w:p>
        </w:tc>
        <w:tc>
          <w:tcPr>
            <w:tcW w:w="1470" w:type="dxa"/>
            <w:vAlign w:val="center"/>
          </w:tcPr>
          <w:p w14:paraId="4633E164">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违法行为</w:t>
            </w:r>
          </w:p>
        </w:tc>
        <w:tc>
          <w:tcPr>
            <w:tcW w:w="6458" w:type="dxa"/>
            <w:gridSpan w:val="2"/>
            <w:vAlign w:val="center"/>
          </w:tcPr>
          <w:p w14:paraId="6899DD14">
            <w:pPr>
              <w:jc w:val="center"/>
            </w:pPr>
            <w:r>
              <w:rPr>
                <w:rFonts w:hint="eastAsia" w:ascii="方正楷体_GB2312" w:hAnsi="方正楷体_GB2312" w:eastAsia="方正楷体_GB2312" w:cs="方正楷体_GB2312"/>
              </w:rPr>
              <w:t>对入网餐饮服务提供者未使用封签或者具备封签功能的食品包装物对配送的食品予以封口的处罚</w:t>
            </w:r>
          </w:p>
        </w:tc>
      </w:tr>
      <w:tr w14:paraId="2E73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7B548BCE"/>
        </w:tc>
        <w:tc>
          <w:tcPr>
            <w:tcW w:w="1470" w:type="dxa"/>
            <w:vAlign w:val="center"/>
          </w:tcPr>
          <w:p w14:paraId="232AB902">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法定依据</w:t>
            </w:r>
          </w:p>
        </w:tc>
        <w:tc>
          <w:tcPr>
            <w:tcW w:w="6458" w:type="dxa"/>
            <w:gridSpan w:val="2"/>
          </w:tcPr>
          <w:p w14:paraId="0E483EEA">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《南通市网络餐饮服务食品安全监督管理条例》</w:t>
            </w:r>
          </w:p>
          <w:p w14:paraId="7AA4AE29">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第九条 入网餐饮服务提供者应当使用开启后无法复原的封签或者具备封签功能的食品包装物对配送的食品予以封口。未封口或者封签损坏的，配送人员有权拒绝配送，消费者有权拒绝接收。</w:t>
            </w:r>
          </w:p>
          <w:p w14:paraId="3DF0649B">
            <w:pPr>
              <w:bidi w:val="0"/>
              <w:ind w:firstLine="420" w:firstLineChars="200"/>
              <w:jc w:val="left"/>
              <w:rPr>
                <w:rFonts w:asciiTheme="minorEastAsia" w:hAnsiTheme="minorEastAsia"/>
                <w:szCs w:val="32"/>
              </w:rPr>
            </w:pPr>
            <w:r>
              <w:rPr>
                <w:rFonts w:hint="eastAsia" w:ascii="方正楷体_GB2312" w:hAnsi="方正楷体_GB2312" w:eastAsia="方正楷体_GB2312" w:cs="方正楷体_GB2312"/>
                <w:kern w:val="2"/>
                <w:sz w:val="21"/>
                <w:szCs w:val="24"/>
                <w:vertAlign w:val="baseline"/>
                <w:lang w:val="en-US" w:eastAsia="zh-CN" w:bidi="ar-SA"/>
              </w:rPr>
              <w:t>第十六条  违反本条例第九条规定，入网餐饮服务提供者未使用封签或者具备封签功能的食品包装物对配送的食品予以封口的，由食品安全监督管理部门责令改正，给予警告；拒不改正的，处二百元以上五百元以下罚款。</w:t>
            </w:r>
          </w:p>
        </w:tc>
      </w:tr>
      <w:tr w14:paraId="3463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173EE6BB"/>
        </w:tc>
        <w:tc>
          <w:tcPr>
            <w:tcW w:w="1470" w:type="dxa"/>
            <w:vMerge w:val="restart"/>
            <w:vAlign w:val="center"/>
          </w:tcPr>
          <w:p w14:paraId="6A9D9A8F">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裁量阶次具体标准</w:t>
            </w:r>
          </w:p>
        </w:tc>
        <w:tc>
          <w:tcPr>
            <w:tcW w:w="930" w:type="dxa"/>
            <w:vAlign w:val="center"/>
          </w:tcPr>
          <w:p w14:paraId="29D1FBE3">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w:t>
            </w:r>
          </w:p>
        </w:tc>
        <w:tc>
          <w:tcPr>
            <w:tcW w:w="5528" w:type="dxa"/>
            <w:vAlign w:val="center"/>
          </w:tcPr>
          <w:p w14:paraId="5A37A2B4">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处200元以上290元以下的罚款。（含本数）</w:t>
            </w:r>
          </w:p>
        </w:tc>
      </w:tr>
      <w:tr w14:paraId="78F3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1F7096E2"/>
        </w:tc>
        <w:tc>
          <w:tcPr>
            <w:tcW w:w="1470" w:type="dxa"/>
            <w:vMerge w:val="continue"/>
            <w:vAlign w:val="center"/>
          </w:tcPr>
          <w:p w14:paraId="55FF64E5">
            <w:pPr>
              <w:jc w:val="center"/>
              <w:rPr>
                <w:rFonts w:ascii="方正黑体_GBK" w:hAnsi="方正黑体_GBK" w:eastAsia="方正黑体_GBK" w:cs="方正黑体_GBK"/>
                <w:sz w:val="28"/>
                <w:szCs w:val="28"/>
              </w:rPr>
            </w:pPr>
          </w:p>
        </w:tc>
        <w:tc>
          <w:tcPr>
            <w:tcW w:w="930" w:type="dxa"/>
            <w:vAlign w:val="center"/>
          </w:tcPr>
          <w:p w14:paraId="04AAA816">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一般</w:t>
            </w:r>
          </w:p>
        </w:tc>
        <w:tc>
          <w:tcPr>
            <w:tcW w:w="5528" w:type="dxa"/>
            <w:vAlign w:val="center"/>
          </w:tcPr>
          <w:p w14:paraId="04415261">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处290元以上410元以下的罚款。（不含本数）</w:t>
            </w:r>
          </w:p>
        </w:tc>
      </w:tr>
      <w:tr w14:paraId="14F6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6E8AF939"/>
        </w:tc>
        <w:tc>
          <w:tcPr>
            <w:tcW w:w="1470" w:type="dxa"/>
            <w:vMerge w:val="continue"/>
            <w:vAlign w:val="center"/>
          </w:tcPr>
          <w:p w14:paraId="0A3F70B3">
            <w:pPr>
              <w:jc w:val="center"/>
              <w:rPr>
                <w:rFonts w:ascii="方正黑体_GBK" w:hAnsi="方正黑体_GBK" w:eastAsia="方正黑体_GBK" w:cs="方正黑体_GBK"/>
                <w:sz w:val="28"/>
                <w:szCs w:val="28"/>
              </w:rPr>
            </w:pPr>
          </w:p>
        </w:tc>
        <w:tc>
          <w:tcPr>
            <w:tcW w:w="930" w:type="dxa"/>
            <w:vAlign w:val="center"/>
          </w:tcPr>
          <w:p w14:paraId="5FFF2BD2">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w:t>
            </w:r>
          </w:p>
        </w:tc>
        <w:tc>
          <w:tcPr>
            <w:tcW w:w="5528" w:type="dxa"/>
            <w:vAlign w:val="center"/>
          </w:tcPr>
          <w:p w14:paraId="7416F871">
            <w:pPr>
              <w:bidi w:val="0"/>
              <w:ind w:firstLine="420" w:firstLineChars="200"/>
              <w:jc w:val="center"/>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处410元以上500元以下的罚款。（含本数）</w:t>
            </w:r>
          </w:p>
        </w:tc>
      </w:tr>
      <w:tr w14:paraId="5714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594" w:type="dxa"/>
            <w:vMerge w:val="continue"/>
          </w:tcPr>
          <w:p w14:paraId="19A0FD84"/>
        </w:tc>
        <w:tc>
          <w:tcPr>
            <w:tcW w:w="1470" w:type="dxa"/>
            <w:vAlign w:val="center"/>
          </w:tcPr>
          <w:p w14:paraId="04109A0C">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适用条件</w:t>
            </w:r>
          </w:p>
        </w:tc>
        <w:tc>
          <w:tcPr>
            <w:tcW w:w="6458" w:type="dxa"/>
            <w:gridSpan w:val="2"/>
          </w:tcPr>
          <w:p w14:paraId="5519CBC7">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从轻情形：</w:t>
            </w:r>
          </w:p>
          <w:p w14:paraId="60C2C48A">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1.违法行为持续时间较短；</w:t>
            </w:r>
          </w:p>
          <w:p w14:paraId="7A91B3F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2.及时改正；</w:t>
            </w:r>
          </w:p>
          <w:p w14:paraId="7B8E0D4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3.社会影响较小；</w:t>
            </w:r>
          </w:p>
          <w:p w14:paraId="7D4C584E">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4.危害后果较轻；</w:t>
            </w:r>
          </w:p>
          <w:p w14:paraId="6535921C">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5.其他情形。</w:t>
            </w:r>
          </w:p>
          <w:p w14:paraId="7C240807">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从重情形：</w:t>
            </w:r>
          </w:p>
          <w:p w14:paraId="2681175F">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1.违法行为持续时间较长；</w:t>
            </w:r>
          </w:p>
          <w:p w14:paraId="006B42BB">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2.社会影响较大；</w:t>
            </w:r>
          </w:p>
          <w:p w14:paraId="0A9137C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3.危害后果较重；</w:t>
            </w:r>
          </w:p>
          <w:p w14:paraId="156542EC">
            <w:pPr>
              <w:bidi w:val="0"/>
              <w:ind w:firstLine="420" w:firstLineChars="200"/>
              <w:jc w:val="left"/>
            </w:pPr>
            <w:r>
              <w:rPr>
                <w:rFonts w:hint="eastAsia" w:ascii="方正楷体_GB2312" w:hAnsi="方正楷体_GB2312" w:eastAsia="方正楷体_GB2312" w:cs="方正楷体_GB2312"/>
                <w:kern w:val="2"/>
                <w:sz w:val="21"/>
                <w:szCs w:val="24"/>
                <w:vertAlign w:val="baseline"/>
                <w:lang w:val="en-US" w:eastAsia="zh-CN" w:bidi="ar-SA"/>
              </w:rPr>
              <w:t>4.其他情形。</w:t>
            </w:r>
          </w:p>
        </w:tc>
      </w:tr>
      <w:tr w14:paraId="5C6A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5D8CE0FA"/>
        </w:tc>
        <w:tc>
          <w:tcPr>
            <w:tcW w:w="1470" w:type="dxa"/>
            <w:vAlign w:val="center"/>
          </w:tcPr>
          <w:p w14:paraId="6401B4EA">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c>
          <w:tcPr>
            <w:tcW w:w="6458" w:type="dxa"/>
            <w:gridSpan w:val="2"/>
          </w:tcPr>
          <w:p w14:paraId="06A9B465"/>
        </w:tc>
      </w:tr>
    </w:tbl>
    <w:p w14:paraId="65C69B72"/>
    <w:p w14:paraId="5A8569C1">
      <w:r>
        <w:rPr>
          <w:rFonts w:hint="eastAsia"/>
        </w:rPr>
        <w:br w:type="page"/>
      </w:r>
    </w:p>
    <w:p w14:paraId="5D21917F">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lang w:val="en-US" w:eastAsia="zh-CN"/>
        </w:rPr>
      </w:pPr>
      <w:r>
        <w:rPr>
          <w:rFonts w:hint="eastAsia"/>
          <w:lang w:val="en-US" w:eastAsia="zh-CN"/>
        </w:rPr>
        <w:t>《南通市住宅物业管理条例》行政处罚裁量权基准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0"/>
        <w:gridCol w:w="930"/>
        <w:gridCol w:w="5528"/>
      </w:tblGrid>
      <w:tr w14:paraId="724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4" w:type="dxa"/>
            <w:vMerge w:val="restart"/>
          </w:tcPr>
          <w:p w14:paraId="25810C86">
            <w:pPr>
              <w:bidi w:val="0"/>
              <w:rPr>
                <w:rFonts w:hint="eastAsia" w:asciiTheme="minorHAnsi" w:hAnsiTheme="minorHAnsi" w:eastAsiaTheme="minorEastAsia" w:cstheme="minorBidi"/>
                <w:kern w:val="2"/>
                <w:sz w:val="21"/>
                <w:szCs w:val="24"/>
                <w:lang w:val="en-US" w:eastAsia="zh-CN" w:bidi="ar-SA"/>
              </w:rPr>
            </w:pPr>
          </w:p>
          <w:p w14:paraId="1109993B">
            <w:pPr>
              <w:bidi w:val="0"/>
              <w:jc w:val="both"/>
              <w:rPr>
                <w:rFonts w:hint="eastAsia"/>
                <w:lang w:val="en-US" w:eastAsia="zh-CN"/>
              </w:rPr>
            </w:pPr>
            <w:r>
              <w:rPr>
                <w:rFonts w:hint="eastAsia"/>
                <w:lang w:val="en-US" w:eastAsia="zh-CN"/>
              </w:rPr>
              <w:t>序号</w:t>
            </w:r>
          </w:p>
          <w:p w14:paraId="68E9E0E0">
            <w:pPr>
              <w:bidi w:val="0"/>
              <w:jc w:val="both"/>
              <w:rPr>
                <w:rFonts w:hint="default"/>
                <w:lang w:val="en-US" w:eastAsia="zh-CN"/>
              </w:rPr>
            </w:pPr>
            <w:r>
              <w:rPr>
                <w:rFonts w:hint="eastAsia"/>
                <w:lang w:val="en-US" w:eastAsia="zh-CN"/>
              </w:rPr>
              <w:t>1</w:t>
            </w:r>
          </w:p>
        </w:tc>
        <w:tc>
          <w:tcPr>
            <w:tcW w:w="1470" w:type="dxa"/>
            <w:vAlign w:val="center"/>
          </w:tcPr>
          <w:p w14:paraId="7B870836">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违法行为</w:t>
            </w:r>
          </w:p>
        </w:tc>
        <w:tc>
          <w:tcPr>
            <w:tcW w:w="6458" w:type="dxa"/>
            <w:gridSpan w:val="2"/>
            <w:vAlign w:val="center"/>
          </w:tcPr>
          <w:p w14:paraId="48B7D7C6">
            <w:pPr>
              <w:jc w:val="center"/>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对物业服务企业未公示物业服务内容等信息或者公示失实信息的处罚</w:t>
            </w:r>
          </w:p>
        </w:tc>
      </w:tr>
      <w:tr w14:paraId="5B60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94" w:type="dxa"/>
            <w:vMerge w:val="continue"/>
          </w:tcPr>
          <w:p w14:paraId="6D1760EB">
            <w:pPr>
              <w:rPr>
                <w:rFonts w:hint="eastAsia" w:eastAsiaTheme="minorEastAsia"/>
                <w:vertAlign w:val="baseline"/>
                <w:lang w:val="en-US" w:eastAsia="zh-CN"/>
              </w:rPr>
            </w:pPr>
          </w:p>
        </w:tc>
        <w:tc>
          <w:tcPr>
            <w:tcW w:w="1470" w:type="dxa"/>
            <w:vAlign w:val="center"/>
          </w:tcPr>
          <w:p w14:paraId="77E09E4E">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c>
          <w:tcPr>
            <w:tcW w:w="6458" w:type="dxa"/>
            <w:gridSpan w:val="2"/>
          </w:tcPr>
          <w:p w14:paraId="2BBFBA93">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《南通市住宅物业管理条例》</w:t>
            </w:r>
          </w:p>
          <w:p w14:paraId="10DDE7F3">
            <w:pPr>
              <w:bidi w:val="0"/>
              <w:ind w:firstLine="420" w:firstLineChars="200"/>
              <w:jc w:val="left"/>
              <w:rPr>
                <w:rFonts w:hint="eastAsia" w:eastAsiaTheme="minorEastAsia"/>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第五十八条  违反本条例规定，物业服务企业有下列情形的，按照以下规定处理：（二）违反本条例第四十二条第一款第二项、第四项、第五项规定，未公示物业服务内容等信息或者公示失实信息的，由县级市场监督管理部门责令限期改正；逾期不改正的，处一万元以上五万元以下罚款。</w:t>
            </w:r>
          </w:p>
        </w:tc>
      </w:tr>
      <w:tr w14:paraId="4CE6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1830A64A">
            <w:pPr>
              <w:rPr>
                <w:rFonts w:hint="eastAsia" w:eastAsiaTheme="minorEastAsia"/>
                <w:vertAlign w:val="baseline"/>
                <w:lang w:val="en-US" w:eastAsia="zh-CN"/>
              </w:rPr>
            </w:pPr>
          </w:p>
        </w:tc>
        <w:tc>
          <w:tcPr>
            <w:tcW w:w="1470" w:type="dxa"/>
            <w:vMerge w:val="restart"/>
            <w:vAlign w:val="center"/>
          </w:tcPr>
          <w:p w14:paraId="4F2134C9">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裁量阶次具体标准</w:t>
            </w:r>
          </w:p>
        </w:tc>
        <w:tc>
          <w:tcPr>
            <w:tcW w:w="930" w:type="dxa"/>
            <w:vAlign w:val="center"/>
          </w:tcPr>
          <w:p w14:paraId="2A546B14">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w:t>
            </w:r>
          </w:p>
        </w:tc>
        <w:tc>
          <w:tcPr>
            <w:tcW w:w="5528" w:type="dxa"/>
            <w:vAlign w:val="center"/>
          </w:tcPr>
          <w:p w14:paraId="6268F635">
            <w:pPr>
              <w:bidi w:val="0"/>
              <w:ind w:firstLine="420" w:firstLineChars="200"/>
              <w:jc w:val="left"/>
              <w:rPr>
                <w:rFonts w:hint="default"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处1万元以上2.2万元以下罚款</w:t>
            </w:r>
            <w:r>
              <w:rPr>
                <w:rFonts w:hint="eastAsia" w:ascii="方正楷体_GB2312" w:hAnsi="方正楷体_GB2312" w:eastAsia="方正楷体_GB2312" w:cs="方正楷体_GB2312"/>
                <w:kern w:val="2"/>
                <w:sz w:val="21"/>
                <w:szCs w:val="24"/>
                <w:vertAlign w:val="baseline"/>
                <w:lang w:val="en-US" w:eastAsia="zh-CN" w:bidi="ar-SA"/>
              </w:rPr>
              <w:t>（含本数）</w:t>
            </w:r>
          </w:p>
        </w:tc>
      </w:tr>
      <w:tr w14:paraId="753A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41504F9D">
            <w:pPr>
              <w:rPr>
                <w:rFonts w:hint="eastAsia" w:eastAsiaTheme="minorEastAsia"/>
                <w:vertAlign w:val="baseline"/>
                <w:lang w:val="en-US" w:eastAsia="zh-CN"/>
              </w:rPr>
            </w:pPr>
          </w:p>
        </w:tc>
        <w:tc>
          <w:tcPr>
            <w:tcW w:w="1470" w:type="dxa"/>
            <w:vMerge w:val="continue"/>
            <w:vAlign w:val="center"/>
          </w:tcPr>
          <w:p w14:paraId="46CB0AEC">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57657D4C">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一般</w:t>
            </w:r>
          </w:p>
        </w:tc>
        <w:tc>
          <w:tcPr>
            <w:tcW w:w="5528" w:type="dxa"/>
            <w:vAlign w:val="center"/>
          </w:tcPr>
          <w:p w14:paraId="4BA82B14">
            <w:pPr>
              <w:bidi w:val="0"/>
              <w:ind w:firstLine="420" w:firstLineChars="200"/>
              <w:jc w:val="left"/>
              <w:rPr>
                <w:rFonts w:hint="default"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处2.2万元以上3.8万元以下罚款</w:t>
            </w:r>
            <w:r>
              <w:rPr>
                <w:rFonts w:hint="eastAsia" w:ascii="方正楷体_GB2312" w:hAnsi="方正楷体_GB2312" w:eastAsia="方正楷体_GB2312" w:cs="方正楷体_GB2312"/>
                <w:kern w:val="2"/>
                <w:sz w:val="21"/>
                <w:szCs w:val="24"/>
                <w:vertAlign w:val="baseline"/>
                <w:lang w:val="en-US" w:eastAsia="zh-CN" w:bidi="ar-SA"/>
              </w:rPr>
              <w:t>（不含本数）</w:t>
            </w:r>
          </w:p>
        </w:tc>
      </w:tr>
      <w:tr w14:paraId="244E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94" w:type="dxa"/>
            <w:vMerge w:val="continue"/>
          </w:tcPr>
          <w:p w14:paraId="664D6B19">
            <w:pPr>
              <w:rPr>
                <w:rFonts w:hint="eastAsia" w:eastAsiaTheme="minorEastAsia"/>
                <w:vertAlign w:val="baseline"/>
                <w:lang w:val="en-US" w:eastAsia="zh-CN"/>
              </w:rPr>
            </w:pPr>
          </w:p>
        </w:tc>
        <w:tc>
          <w:tcPr>
            <w:tcW w:w="1470" w:type="dxa"/>
            <w:vMerge w:val="continue"/>
            <w:vAlign w:val="center"/>
          </w:tcPr>
          <w:p w14:paraId="482C4782">
            <w:pPr>
              <w:jc w:val="center"/>
              <w:rPr>
                <w:rFonts w:hint="eastAsia" w:ascii="方正黑体_GBK" w:hAnsi="方正黑体_GBK" w:eastAsia="方正黑体_GBK" w:cs="方正黑体_GBK"/>
                <w:sz w:val="28"/>
                <w:szCs w:val="28"/>
                <w:vertAlign w:val="baseline"/>
                <w:lang w:val="en-US" w:eastAsia="zh-CN"/>
              </w:rPr>
            </w:pPr>
          </w:p>
        </w:tc>
        <w:tc>
          <w:tcPr>
            <w:tcW w:w="930" w:type="dxa"/>
            <w:vAlign w:val="center"/>
          </w:tcPr>
          <w:p w14:paraId="36E6B9BB">
            <w:pPr>
              <w:jc w:val="center"/>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w:t>
            </w:r>
          </w:p>
        </w:tc>
        <w:tc>
          <w:tcPr>
            <w:tcW w:w="5528" w:type="dxa"/>
            <w:vAlign w:val="center"/>
          </w:tcPr>
          <w:p w14:paraId="5C3BBFE0">
            <w:pPr>
              <w:bidi w:val="0"/>
              <w:ind w:firstLine="420" w:firstLineChars="200"/>
              <w:jc w:val="left"/>
              <w:rPr>
                <w:rFonts w:hint="default" w:ascii="方正楷体_GB2312" w:hAnsi="方正楷体_GB2312" w:eastAsia="方正楷体_GB2312" w:cs="方正楷体_GB2312"/>
                <w:kern w:val="2"/>
                <w:sz w:val="21"/>
                <w:szCs w:val="24"/>
                <w:vertAlign w:val="baseline"/>
                <w:lang w:val="en-US" w:eastAsia="zh-CN" w:bidi="ar-SA"/>
              </w:rPr>
            </w:pPr>
            <w:r>
              <w:rPr>
                <w:rFonts w:hint="default" w:ascii="方正楷体_GB2312" w:hAnsi="方正楷体_GB2312" w:eastAsia="方正楷体_GB2312" w:cs="方正楷体_GB2312"/>
                <w:kern w:val="2"/>
                <w:sz w:val="21"/>
                <w:szCs w:val="24"/>
                <w:vertAlign w:val="baseline"/>
                <w:lang w:val="en-US" w:eastAsia="zh-CN" w:bidi="ar-SA"/>
              </w:rPr>
              <w:t>处3.8万元以上5万元以下罚款</w:t>
            </w:r>
            <w:r>
              <w:rPr>
                <w:rFonts w:hint="eastAsia" w:ascii="方正楷体_GB2312" w:hAnsi="方正楷体_GB2312" w:eastAsia="方正楷体_GB2312" w:cs="方正楷体_GB2312"/>
                <w:kern w:val="2"/>
                <w:sz w:val="21"/>
                <w:szCs w:val="24"/>
                <w:vertAlign w:val="baseline"/>
                <w:lang w:val="en-US" w:eastAsia="zh-CN" w:bidi="ar-SA"/>
              </w:rPr>
              <w:t>（含本数）</w:t>
            </w:r>
          </w:p>
        </w:tc>
      </w:tr>
      <w:tr w14:paraId="1CC8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594" w:type="dxa"/>
            <w:vMerge w:val="continue"/>
          </w:tcPr>
          <w:p w14:paraId="4D2091FC">
            <w:pPr>
              <w:rPr>
                <w:rFonts w:hint="eastAsia" w:eastAsiaTheme="minorEastAsia"/>
                <w:vertAlign w:val="baseline"/>
                <w:lang w:val="en-US" w:eastAsia="zh-CN"/>
              </w:rPr>
            </w:pPr>
          </w:p>
        </w:tc>
        <w:tc>
          <w:tcPr>
            <w:tcW w:w="1470" w:type="dxa"/>
            <w:vAlign w:val="center"/>
          </w:tcPr>
          <w:p w14:paraId="11B29943">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适用条件</w:t>
            </w:r>
          </w:p>
        </w:tc>
        <w:tc>
          <w:tcPr>
            <w:tcW w:w="6458" w:type="dxa"/>
            <w:gridSpan w:val="2"/>
          </w:tcPr>
          <w:p w14:paraId="4CC5A25A">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从轻情形：</w:t>
            </w:r>
          </w:p>
          <w:p w14:paraId="5F858281">
            <w:pPr>
              <w:bidi w:val="0"/>
              <w:ind w:firstLine="420" w:firstLineChars="200"/>
              <w:jc w:val="left"/>
              <w:rPr>
                <w:rFonts w:hint="eastAsia" w:ascii="方正楷体_GB2312" w:hAnsi="方正楷体_GB2312" w:eastAsia="方正楷体_GB2312" w:cs="方正楷体_GB2312"/>
                <w:kern w:val="2"/>
                <w:sz w:val="21"/>
                <w:szCs w:val="24"/>
                <w:vertAlign w:val="baseline"/>
                <w:lang w:val="en-US" w:eastAsia="zh-CN" w:bidi="ar-SA"/>
              </w:rPr>
            </w:pPr>
            <w:r>
              <w:rPr>
                <w:rFonts w:hint="eastAsia" w:ascii="方正楷体_GB2312" w:hAnsi="方正楷体_GB2312" w:eastAsia="方正楷体_GB2312" w:cs="方正楷体_GB2312"/>
                <w:kern w:val="2"/>
                <w:sz w:val="21"/>
                <w:szCs w:val="24"/>
                <w:vertAlign w:val="baseline"/>
                <w:lang w:val="en-US" w:eastAsia="zh-CN" w:bidi="ar-SA"/>
              </w:rPr>
              <w:t>因故逾期未改正，但不具有主观故意性。</w:t>
            </w:r>
          </w:p>
          <w:p w14:paraId="55359F0B">
            <w:pPr>
              <w:jc w:val="left"/>
              <w:rPr>
                <w:rFonts w:hint="eastAsia" w:ascii="方正黑体_GBK" w:hAnsi="方正黑体_GBK" w:eastAsia="方正黑体_GBK" w:cs="方正黑体_GBK"/>
                <w:sz w:val="28"/>
                <w:szCs w:val="28"/>
                <w:vertAlign w:val="baseline"/>
                <w:lang w:val="en-US" w:eastAsia="zh-CN"/>
              </w:rPr>
            </w:pPr>
          </w:p>
          <w:p w14:paraId="4C8AA3BC">
            <w:pPr>
              <w:jc w:val="lef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从重情形：</w:t>
            </w:r>
          </w:p>
          <w:p w14:paraId="76AD08E6">
            <w:pPr>
              <w:bidi w:val="0"/>
              <w:ind w:firstLine="420" w:firstLineChars="200"/>
              <w:jc w:val="left"/>
              <w:rPr>
                <w:rFonts w:hint="default" w:ascii="方正黑体_GBK" w:hAnsi="方正黑体_GBK" w:eastAsia="方正黑体_GBK" w:cs="方正黑体_GBK"/>
                <w:sz w:val="28"/>
                <w:szCs w:val="28"/>
                <w:vertAlign w:val="baseline"/>
                <w:lang w:val="en-US" w:eastAsia="zh-CN"/>
              </w:rPr>
            </w:pPr>
            <w:r>
              <w:rPr>
                <w:rFonts w:hint="eastAsia" w:ascii="方正楷体_GB2312" w:hAnsi="方正楷体_GB2312" w:eastAsia="方正楷体_GB2312" w:cs="方正楷体_GB2312"/>
                <w:kern w:val="2"/>
                <w:sz w:val="21"/>
                <w:szCs w:val="24"/>
                <w:vertAlign w:val="baseline"/>
                <w:lang w:val="en-US" w:eastAsia="zh-CN" w:bidi="ar-SA"/>
              </w:rPr>
              <w:t>拒不改正，屡查屡犯。</w:t>
            </w:r>
          </w:p>
        </w:tc>
      </w:tr>
      <w:tr w14:paraId="2F02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tcPr>
          <w:p w14:paraId="700EAF4A">
            <w:pPr>
              <w:rPr>
                <w:rFonts w:hint="eastAsia" w:eastAsiaTheme="minorEastAsia"/>
                <w:vertAlign w:val="baseline"/>
                <w:lang w:val="en-US" w:eastAsia="zh-CN"/>
              </w:rPr>
            </w:pPr>
          </w:p>
        </w:tc>
        <w:tc>
          <w:tcPr>
            <w:tcW w:w="1470" w:type="dxa"/>
            <w:vAlign w:val="center"/>
          </w:tcPr>
          <w:p w14:paraId="729AE607">
            <w:pPr>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c>
          <w:tcPr>
            <w:tcW w:w="6458" w:type="dxa"/>
            <w:gridSpan w:val="2"/>
          </w:tcPr>
          <w:p w14:paraId="4902203C">
            <w:pPr>
              <w:rPr>
                <w:rFonts w:hint="eastAsia" w:eastAsiaTheme="minorEastAsia"/>
                <w:vertAlign w:val="baseline"/>
                <w:lang w:val="en-US" w:eastAsia="zh-CN"/>
              </w:rPr>
            </w:pPr>
          </w:p>
        </w:tc>
      </w:tr>
    </w:tbl>
    <w:p w14:paraId="0D34784B">
      <w:pPr>
        <w:rPr>
          <w:rFonts w:hint="eastAsia" w:eastAsiaTheme="minorEastAsia"/>
          <w:lang w:val="en-US" w:eastAsia="zh-CN"/>
        </w:rPr>
      </w:pPr>
    </w:p>
    <w:p w14:paraId="7B240FD8">
      <w:pPr>
        <w:rPr>
          <w:rFonts w:hint="eastAsia"/>
          <w:lang w:val="en-US" w:eastAsia="zh-CN"/>
        </w:rPr>
      </w:pPr>
    </w:p>
    <w:p w14:paraId="24F8E47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60CEF03-EBC8-491F-9C51-169A86D5E75A}"/>
  </w:font>
  <w:font w:name="方正黑体_GBK">
    <w:panose1 w:val="02010600010101010101"/>
    <w:charset w:val="86"/>
    <w:family w:val="auto"/>
    <w:pitch w:val="default"/>
    <w:sig w:usb0="00000001" w:usb1="080E0000" w:usb2="00000000" w:usb3="00000000" w:csb0="00040000" w:csb1="00000000"/>
    <w:embedRegular r:id="rId2" w:fontKey="{6D13BE9F-B9C7-4F97-BFA6-7A8415E30443}"/>
  </w:font>
  <w:font w:name="方正楷体_GBK">
    <w:panose1 w:val="02000000000000000000"/>
    <w:charset w:val="86"/>
    <w:family w:val="auto"/>
    <w:pitch w:val="default"/>
    <w:sig w:usb0="800002BF" w:usb1="38CF7CFA" w:usb2="00000016" w:usb3="00000000" w:csb0="00040000" w:csb1="00000000"/>
    <w:embedRegular r:id="rId3" w:fontKey="{97E9707E-54F0-4601-8FEF-A09407DDC58F}"/>
  </w:font>
  <w:font w:name="方正仿宋_GBK">
    <w:panose1 w:val="03000509000000000000"/>
    <w:charset w:val="86"/>
    <w:family w:val="auto"/>
    <w:pitch w:val="default"/>
    <w:sig w:usb0="00000001" w:usb1="080E0000" w:usb2="00000000" w:usb3="00000000" w:csb0="00040000" w:csb1="00000000"/>
    <w:embedRegular r:id="rId4" w:fontKey="{F4B0C6ED-F596-41C0-898F-FFB0760F7CAC}"/>
  </w:font>
  <w:font w:name="方正楷体_GB2312">
    <w:panose1 w:val="02000000000000000000"/>
    <w:charset w:val="86"/>
    <w:family w:val="auto"/>
    <w:pitch w:val="default"/>
    <w:sig w:usb0="A00002BF" w:usb1="184F6CFA" w:usb2="00000012" w:usb3="00000000" w:csb0="00040001" w:csb1="00000000"/>
    <w:embedRegular r:id="rId5" w:fontKey="{659E8F4C-131C-4E24-B4DF-13BEAC6CBA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469B8"/>
    <w:rsid w:val="02671AA8"/>
    <w:rsid w:val="04E3442F"/>
    <w:rsid w:val="05ED4F2F"/>
    <w:rsid w:val="08133D1E"/>
    <w:rsid w:val="0AF52007"/>
    <w:rsid w:val="0B501FE8"/>
    <w:rsid w:val="0BC14B70"/>
    <w:rsid w:val="0D100DB5"/>
    <w:rsid w:val="0E3C5D1E"/>
    <w:rsid w:val="0EF16F8A"/>
    <w:rsid w:val="10642DE9"/>
    <w:rsid w:val="16571DC8"/>
    <w:rsid w:val="17822E75"/>
    <w:rsid w:val="1F7469B8"/>
    <w:rsid w:val="24AC7783"/>
    <w:rsid w:val="25062589"/>
    <w:rsid w:val="264136D1"/>
    <w:rsid w:val="30542FEE"/>
    <w:rsid w:val="39BF2BD4"/>
    <w:rsid w:val="45854CD3"/>
    <w:rsid w:val="48CA5CE4"/>
    <w:rsid w:val="4B7221A6"/>
    <w:rsid w:val="4D470CD7"/>
    <w:rsid w:val="4FC14D71"/>
    <w:rsid w:val="574F6249"/>
    <w:rsid w:val="58522057"/>
    <w:rsid w:val="65A2414A"/>
    <w:rsid w:val="70B804E7"/>
    <w:rsid w:val="72BD0BC1"/>
    <w:rsid w:val="73555EBD"/>
    <w:rsid w:val="78F96906"/>
    <w:rsid w:val="7AC52BAB"/>
    <w:rsid w:val="7FD5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rFonts w:ascii="Times New Roman" w:hAnsi="Times New Roman" w:eastAsia="宋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next w:val="6"/>
    <w:qFormat/>
    <w:uiPriority w:val="0"/>
    <w:pPr>
      <w:ind w:firstLine="200" w:firstLineChars="200"/>
    </w:pPr>
    <w:rPr>
      <w:rFonts w:ascii="Times New Roman" w:hAnsi="Times New Roman" w:eastAsia="宋体"/>
      <w:szCs w:val="24"/>
    </w:rPr>
  </w:style>
  <w:style w:type="paragraph" w:customStyle="1" w:styleId="12">
    <w:name w:val="BodyTextIndent"/>
    <w:basedOn w:val="1"/>
    <w:qFormat/>
    <w:uiPriority w:val="0"/>
    <w:pPr>
      <w:spacing w:after="120"/>
      <w:ind w:left="200" w:left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3839</Words>
  <Characters>3947</Characters>
  <Lines>0</Lines>
  <Paragraphs>0</Paragraphs>
  <TotalTime>0</TotalTime>
  <ScaleCrop>false</ScaleCrop>
  <LinksUpToDate>false</LinksUpToDate>
  <CharactersWithSpaces>3989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2025-04-22T08:30:00Z</dcterms:created>
  <dc:creator>游啊游</dc:creator>
  <cp:lastModifiedBy>游啊游</cp:lastModifiedBy>
  <dcterms:modified xsi:type="dcterms:W3CDTF">2025-05-21T03:02:56Z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CE8AA1B802794EB2AA07D71C3D113589_13</vt:lpwstr>
  </property>
  <property fmtid="{D5CDD505-2E9C-101B-9397-08002B2CF9AE}" pid="4" name="KSOTemplateDocerSaveRecord">
    <vt:lpwstr>eyJoZGlkIjoiM2EyMzA4MTgwNzI5NTM1MmM3NzA2ZWQyODNlMDMwODIiLCJ1c2VySWQiOiI0MDUxNDI4NzkifQ==</vt:lpwstr>
  </property>
</Properties>
</file>