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8C12">
      <w:pPr>
        <w:autoSpaceDE w:val="0"/>
        <w:autoSpaceDN w:val="0"/>
        <w:adjustRightInd w:val="0"/>
        <w:jc w:val="center"/>
        <w:rPr>
          <w:rFonts w:hint="eastAsia" w:ascii="方正小标宋_GBK" w:hAnsi="方正小标宋_GBK" w:eastAsia="方正小标宋_GBK" w:cs="方正小标宋_GBK"/>
          <w:b w:val="0"/>
          <w:bCs w:val="0"/>
          <w:kern w:val="0"/>
          <w:sz w:val="44"/>
          <w:szCs w:val="44"/>
          <w:lang w:eastAsia="zh-CN"/>
        </w:rPr>
      </w:pPr>
      <w:bookmarkStart w:id="0" w:name="_GoBack"/>
      <w:bookmarkEnd w:id="0"/>
      <w:r>
        <w:rPr>
          <w:rFonts w:hint="eastAsia" w:ascii="方正小标宋_GBK" w:hAnsi="方正小标宋_GBK" w:eastAsia="方正小标宋_GBK" w:cs="方正小标宋_GBK"/>
          <w:b w:val="0"/>
          <w:bCs w:val="0"/>
          <w:kern w:val="0"/>
          <w:sz w:val="44"/>
          <w:szCs w:val="44"/>
          <w:lang w:val="en-US" w:eastAsia="zh-CN"/>
        </w:rPr>
        <w:t>南通市贵金属、珠宝饰品</w:t>
      </w:r>
      <w:r>
        <w:rPr>
          <w:rFonts w:hint="eastAsia" w:ascii="方正小标宋_GBK" w:hAnsi="方正小标宋_GBK" w:eastAsia="方正小标宋_GBK" w:cs="方正小标宋_GBK"/>
          <w:b w:val="0"/>
          <w:bCs w:val="0"/>
          <w:kern w:val="0"/>
          <w:sz w:val="44"/>
          <w:szCs w:val="44"/>
        </w:rPr>
        <w:t>产品质量监督抽查检验实施细则</w:t>
      </w:r>
      <w:r>
        <w:rPr>
          <w:rFonts w:hint="eastAsia" w:ascii="方正小标宋_GBK" w:hAnsi="方正小标宋_GBK" w:eastAsia="方正小标宋_GBK" w:cs="方正小标宋_GBK"/>
          <w:b w:val="0"/>
          <w:bCs w:val="0"/>
          <w:kern w:val="0"/>
          <w:sz w:val="44"/>
          <w:szCs w:val="44"/>
          <w:lang w:eastAsia="zh-CN"/>
        </w:rPr>
        <w:t>（</w:t>
      </w:r>
      <w:r>
        <w:rPr>
          <w:rFonts w:hint="eastAsia" w:ascii="方正小标宋_GBK" w:hAnsi="方正小标宋_GBK" w:eastAsia="方正小标宋_GBK" w:cs="方正小标宋_GBK"/>
          <w:b w:val="0"/>
          <w:bCs w:val="0"/>
          <w:kern w:val="0"/>
          <w:sz w:val="44"/>
          <w:szCs w:val="44"/>
          <w:lang w:val="en-US" w:eastAsia="zh-CN"/>
        </w:rPr>
        <w:t>2025年</w:t>
      </w:r>
      <w:r>
        <w:rPr>
          <w:rFonts w:hint="eastAsia" w:ascii="方正小标宋_GBK" w:hAnsi="方正小标宋_GBK" w:eastAsia="方正小标宋_GBK" w:cs="方正小标宋_GBK"/>
          <w:b w:val="0"/>
          <w:bCs w:val="0"/>
          <w:kern w:val="0"/>
          <w:sz w:val="44"/>
          <w:szCs w:val="44"/>
          <w:lang w:eastAsia="zh-CN"/>
        </w:rPr>
        <w:t>）</w:t>
      </w:r>
    </w:p>
    <w:p w14:paraId="382B472B">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一、范围</w:t>
      </w:r>
    </w:p>
    <w:p w14:paraId="159A20B5">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color w:val="auto"/>
          <w:kern w:val="0"/>
          <w:sz w:val="32"/>
          <w:szCs w:val="32"/>
          <w:lang w:eastAsia="zh-CN"/>
        </w:rPr>
      </w:pPr>
      <w:r>
        <w:rPr>
          <w:rFonts w:hint="eastAsia" w:ascii="方正仿宋_GBK" w:hAnsi="方正仿宋_GBK" w:eastAsia="方正仿宋_GBK" w:cs="方正仿宋_GBK"/>
          <w:bCs/>
          <w:sz w:val="32"/>
          <w:szCs w:val="32"/>
        </w:rPr>
        <w:t>本细则适用于南通市市场监督管理局组织</w:t>
      </w:r>
      <w:r>
        <w:rPr>
          <w:rFonts w:hint="eastAsia" w:ascii="方正仿宋_GBK" w:hAnsi="方正仿宋_GBK" w:eastAsia="方正仿宋_GBK" w:cs="方正仿宋_GBK"/>
          <w:bCs/>
          <w:sz w:val="32"/>
          <w:szCs w:val="32"/>
          <w:lang w:val="en-US" w:eastAsia="zh-CN"/>
        </w:rPr>
        <w:t>贵金属、珠宝饰品</w:t>
      </w:r>
      <w:r>
        <w:rPr>
          <w:rFonts w:hint="eastAsia" w:ascii="方正仿宋_GBK" w:hAnsi="方正仿宋_GBK" w:eastAsia="方正仿宋_GBK" w:cs="方正仿宋_GBK"/>
          <w:bCs/>
          <w:sz w:val="32"/>
          <w:szCs w:val="32"/>
        </w:rPr>
        <w:t>产品质量监督抽查检验</w:t>
      </w:r>
      <w:r>
        <w:rPr>
          <w:rFonts w:hint="eastAsia" w:ascii="方正仿宋_GBK" w:hAnsi="方正仿宋_GBK" w:eastAsia="方正仿宋_GBK" w:cs="方正仿宋_GBK"/>
          <w:color w:val="auto"/>
          <w:kern w:val="0"/>
          <w:sz w:val="32"/>
          <w:szCs w:val="32"/>
        </w:rPr>
        <w:t>。</w:t>
      </w:r>
      <w:r>
        <w:rPr>
          <w:rFonts w:hint="eastAsia" w:ascii="方正仿宋_GBK" w:hAnsi="方正仿宋_GBK" w:eastAsia="方正仿宋_GBK" w:cs="方正仿宋_GBK"/>
          <w:color w:val="auto"/>
          <w:kern w:val="0"/>
          <w:sz w:val="32"/>
          <w:szCs w:val="32"/>
          <w:lang w:eastAsia="zh-CN"/>
        </w:rPr>
        <w:t>本细则规定了此产品的抽样方法、检验依据、检验项目、检验方法、判定原则、异议处理及复检。</w:t>
      </w:r>
    </w:p>
    <w:p w14:paraId="20CFD286">
      <w:pPr>
        <w:keepNext w:val="0"/>
        <w:keepLines w:val="0"/>
        <w:pageBreakBefore w:val="0"/>
        <w:numPr>
          <w:ilvl w:val="0"/>
          <w:numId w:val="0"/>
        </w:numPr>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二、</w:t>
      </w:r>
      <w:r>
        <w:rPr>
          <w:rFonts w:hint="eastAsia" w:ascii="方正黑体_GBK" w:hAnsi="方正黑体_GBK" w:eastAsia="方正黑体_GBK" w:cs="方正黑体_GBK"/>
          <w:bCs/>
          <w:sz w:val="32"/>
          <w:szCs w:val="32"/>
        </w:rPr>
        <w:t>抽</w:t>
      </w:r>
      <w:r>
        <w:rPr>
          <w:rFonts w:hint="eastAsia" w:ascii="方正黑体_GBK" w:hAnsi="方正黑体_GBK" w:eastAsia="方正黑体_GBK" w:cs="方正黑体_GBK"/>
          <w:bCs/>
          <w:sz w:val="32"/>
          <w:szCs w:val="32"/>
          <w:lang w:val="en-US" w:eastAsia="zh-CN"/>
        </w:rPr>
        <w:t>样</w:t>
      </w:r>
      <w:r>
        <w:rPr>
          <w:rFonts w:hint="eastAsia" w:ascii="方正黑体_GBK" w:hAnsi="方正黑体_GBK" w:eastAsia="方正黑体_GBK" w:cs="方正黑体_GBK"/>
          <w:bCs/>
          <w:sz w:val="32"/>
          <w:szCs w:val="32"/>
        </w:rPr>
        <w:t>方法</w:t>
      </w:r>
    </w:p>
    <w:p w14:paraId="66D303BA">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本次监督抽查仅从市场实体店取样，以发现问题为导向，重点对2024年度抽查不合单的单位，以及消费者反映的热点产品进行监督抽查。</w:t>
      </w:r>
    </w:p>
    <w:p w14:paraId="4D90F1B3">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以发现问题为导向，尽量抽查消费者反应问题多、价格显著偏移的产品；同一生产企业按照同一标准生产的同一商标、同一规格型号产品在同一抽样领域不得重复抽样。 </w:t>
      </w:r>
    </w:p>
    <w:p w14:paraId="0213031A">
      <w:pPr>
        <w:keepNext w:val="0"/>
        <w:keepLines w:val="0"/>
        <w:pageBreakBefore w:val="0"/>
        <w:numPr>
          <w:ilvl w:val="0"/>
          <w:numId w:val="0"/>
        </w:numPr>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实体店抽样，所抽查贵金属、珠宝饰品的产品名称应当反映产品的真实属性，当其标识名称不明确时，应当以适当方式询问产品的具体名称。每个地区原则上应当尽量覆盖商场、超市、专卖店或便利店（杂货店）3类实体店，若地区实体店不能完全覆盖3类实体店的，根据区域实际分布情况进行调整，尽量保证该地区总抽样数不变。</w:t>
      </w:r>
    </w:p>
    <w:p w14:paraId="6945218F">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Cs/>
          <w:sz w:val="32"/>
          <w:szCs w:val="32"/>
          <w:lang w:val="en-US" w:eastAsia="zh-CN"/>
        </w:rPr>
        <w:t>抽样单上应注明：（1）</w:t>
      </w:r>
      <w:r>
        <w:rPr>
          <w:rFonts w:hint="eastAsia" w:ascii="方正仿宋_GBK" w:hAnsi="方正仿宋_GBK" w:eastAsia="方正仿宋_GBK" w:cs="方正仿宋_GBK"/>
          <w:bCs/>
          <w:sz w:val="32"/>
          <w:szCs w:val="32"/>
        </w:rPr>
        <w:t>取样企业名称</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实体店受检企业名称表述需与受检企业营业执照一致</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2</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生产企业名称</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如有</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3</w:t>
      </w:r>
      <w:r>
        <w:rPr>
          <w:rFonts w:hint="eastAsia" w:ascii="方正仿宋_GBK" w:hAnsi="方正仿宋_GBK" w:eastAsia="方正仿宋_GBK" w:cs="方正仿宋_GBK"/>
          <w:bCs/>
          <w:sz w:val="32"/>
          <w:szCs w:val="32"/>
          <w:lang w:eastAsia="zh-CN"/>
        </w:rPr>
        <w:t>）抽检产品名称，</w:t>
      </w:r>
      <w:r>
        <w:rPr>
          <w:rFonts w:hint="eastAsia" w:ascii="方正仿宋_GBK" w:hAnsi="方正仿宋_GBK" w:eastAsia="方正仿宋_GBK" w:cs="方正仿宋_GBK"/>
          <w:bCs/>
          <w:sz w:val="32"/>
          <w:szCs w:val="32"/>
        </w:rPr>
        <w:t>产品标签、产品包装、产品说明书等明确标出的</w:t>
      </w:r>
      <w:r>
        <w:rPr>
          <w:rFonts w:hint="eastAsia" w:ascii="方正仿宋_GBK" w:hAnsi="方正仿宋_GBK" w:eastAsia="方正仿宋_GBK" w:cs="方正仿宋_GBK"/>
          <w:bCs/>
          <w:sz w:val="32"/>
          <w:szCs w:val="32"/>
          <w:lang w:eastAsia="zh-CN"/>
        </w:rPr>
        <w:t>。</w:t>
      </w:r>
    </w:p>
    <w:p w14:paraId="413D7E77">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eastAsia="zh-CN"/>
        </w:rPr>
        <w:t>三、检验依据</w:t>
      </w:r>
    </w:p>
    <w:p w14:paraId="20D63FC8">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凡是注明日期的文件，其随后所有的修改单或修订版不适用于本方案。凡是不注日期的文件，其最新版本适用于本方案。 </w:t>
      </w:r>
    </w:p>
    <w:p w14:paraId="7BAF7E26">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 11887-2012《首饰贵金属首饰纯度的规定及命名方法》及2015年第1号修改单</w:t>
      </w:r>
    </w:p>
    <w:p w14:paraId="0A487819">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18043-2013《首饰 贵金属含量的测定 X射线荧光光谱法》</w:t>
      </w:r>
    </w:p>
    <w:p w14:paraId="4D55D259">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GB/T 8170-2008《数值修约规则与极限数值的标识和判定》         </w:t>
      </w:r>
    </w:p>
    <w:p w14:paraId="6B16AB64">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QB/T 1690-2021《贵金属饰品质量测量允差的规定》</w:t>
      </w:r>
    </w:p>
    <w:p w14:paraId="7E4B69D6">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16552-2017《珠宝玉石  名称》</w:t>
      </w:r>
    </w:p>
    <w:p w14:paraId="12803A61">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16553-2017《珠宝玉石  鉴定》</w:t>
      </w:r>
    </w:p>
    <w:p w14:paraId="0D0C69DD">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16554-2017《钻石分级》</w:t>
      </w:r>
    </w:p>
    <w:p w14:paraId="52A53FBC">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31912-2015 《饰品 标识》</w:t>
      </w:r>
    </w:p>
    <w:p w14:paraId="669B3366">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相关的法律法规、部门规章和规范 </w:t>
      </w:r>
    </w:p>
    <w:p w14:paraId="2194AAEC">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Cs/>
          <w:sz w:val="32"/>
          <w:szCs w:val="32"/>
          <w:lang w:val="en-US" w:eastAsia="zh-CN"/>
        </w:rPr>
        <w:t xml:space="preserve">经备案现行有效的企业标准及明示质量承诺 </w:t>
      </w:r>
    </w:p>
    <w:p w14:paraId="7A01FD73">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val="en-US" w:eastAsia="zh-CN"/>
        </w:rPr>
        <w:t>四、检验项目、方法</w:t>
      </w:r>
    </w:p>
    <w:p w14:paraId="3E862A3E">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检验项目为产品实物质量检查和产品标签检查。</w:t>
      </w:r>
    </w:p>
    <w:p w14:paraId="3E03335A">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4.1实物质量检验项目表</w:t>
      </w:r>
    </w:p>
    <w:tbl>
      <w:tblPr>
        <w:tblStyle w:val="5"/>
        <w:tblpPr w:leftFromText="180" w:rightFromText="180" w:vertAnchor="text" w:horzAnchor="page" w:tblpXSpec="center" w:tblpY="659"/>
        <w:tblOverlap w:val="never"/>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595"/>
        <w:gridCol w:w="1903"/>
        <w:gridCol w:w="1653"/>
        <w:gridCol w:w="1835"/>
      </w:tblGrid>
      <w:tr w14:paraId="4A43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810" w:type="dxa"/>
            <w:shd w:val="clear" w:color="auto" w:fill="auto"/>
            <w:noWrap w:val="0"/>
            <w:vAlign w:val="center"/>
          </w:tcPr>
          <w:p w14:paraId="5A9B415B">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rPr>
              <w:t>序号</w:t>
            </w:r>
          </w:p>
        </w:tc>
        <w:tc>
          <w:tcPr>
            <w:tcW w:w="1595" w:type="dxa"/>
            <w:shd w:val="clear" w:color="auto" w:fill="auto"/>
            <w:noWrap w:val="0"/>
            <w:vAlign w:val="center"/>
          </w:tcPr>
          <w:p w14:paraId="415995FC">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val="en-US" w:eastAsia="zh-CN"/>
              </w:rPr>
              <w:t>检验</w:t>
            </w:r>
          </w:p>
          <w:p w14:paraId="570045F4">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val="en-US" w:eastAsia="zh-CN"/>
              </w:rPr>
              <w:t>项目</w:t>
            </w:r>
          </w:p>
        </w:tc>
        <w:tc>
          <w:tcPr>
            <w:tcW w:w="1903" w:type="dxa"/>
            <w:shd w:val="clear" w:color="auto" w:fill="auto"/>
            <w:noWrap w:val="0"/>
            <w:vAlign w:val="center"/>
          </w:tcPr>
          <w:p w14:paraId="1ADE7913">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lang w:eastAsia="zh-CN"/>
              </w:rPr>
            </w:pPr>
            <w:r>
              <w:rPr>
                <w:rFonts w:hint="eastAsia" w:ascii="方正仿宋_GBK" w:hAnsi="方正仿宋_GBK" w:eastAsia="方正仿宋_GBK" w:cs="方正仿宋_GBK"/>
                <w:kern w:val="0"/>
                <w:sz w:val="32"/>
                <w:szCs w:val="32"/>
                <w:shd w:val="clear" w:color="auto" w:fill="auto"/>
                <w:lang w:eastAsia="zh-CN"/>
              </w:rPr>
              <w:t>检验依据</w:t>
            </w:r>
          </w:p>
        </w:tc>
        <w:tc>
          <w:tcPr>
            <w:tcW w:w="3488" w:type="dxa"/>
            <w:gridSpan w:val="2"/>
            <w:shd w:val="clear" w:color="auto" w:fill="auto"/>
            <w:noWrap w:val="0"/>
            <w:vAlign w:val="center"/>
          </w:tcPr>
          <w:p w14:paraId="5191D611">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eastAsia="zh-CN"/>
              </w:rPr>
              <w:t>检验</w:t>
            </w:r>
            <w:r>
              <w:rPr>
                <w:rFonts w:hint="eastAsia" w:ascii="方正仿宋_GBK" w:hAnsi="方正仿宋_GBK" w:eastAsia="方正仿宋_GBK" w:cs="方正仿宋_GBK"/>
                <w:kern w:val="0"/>
                <w:sz w:val="32"/>
                <w:szCs w:val="32"/>
                <w:shd w:val="clear" w:color="auto" w:fill="auto"/>
                <w:lang w:val="en-US" w:eastAsia="zh-CN"/>
              </w:rPr>
              <w:t>检测方法</w:t>
            </w:r>
          </w:p>
        </w:tc>
      </w:tr>
      <w:tr w14:paraId="68BB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810" w:type="dxa"/>
            <w:vMerge w:val="restart"/>
            <w:noWrap w:val="0"/>
            <w:vAlign w:val="center"/>
          </w:tcPr>
          <w:p w14:paraId="698EE727">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p>
        </w:tc>
        <w:tc>
          <w:tcPr>
            <w:tcW w:w="1595" w:type="dxa"/>
            <w:vMerge w:val="restart"/>
            <w:noWrap w:val="0"/>
            <w:vAlign w:val="center"/>
          </w:tcPr>
          <w:p w14:paraId="42B25B9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贵金属</w:t>
            </w:r>
          </w:p>
          <w:p w14:paraId="6897A195">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饰品</w:t>
            </w:r>
          </w:p>
        </w:tc>
        <w:tc>
          <w:tcPr>
            <w:tcW w:w="1903" w:type="dxa"/>
            <w:noWrap w:val="0"/>
            <w:vAlign w:val="center"/>
          </w:tcPr>
          <w:p w14:paraId="4B9FD1A3">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QB/T1690</w:t>
            </w:r>
          </w:p>
        </w:tc>
        <w:tc>
          <w:tcPr>
            <w:tcW w:w="1653" w:type="dxa"/>
            <w:noWrap w:val="0"/>
            <w:vAlign w:val="center"/>
          </w:tcPr>
          <w:p w14:paraId="51F181CE">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kern w:val="0"/>
                <w:sz w:val="32"/>
                <w:szCs w:val="32"/>
              </w:rPr>
              <w:t>质量</w:t>
            </w:r>
          </w:p>
        </w:tc>
        <w:tc>
          <w:tcPr>
            <w:tcW w:w="1835" w:type="dxa"/>
            <w:noWrap w:val="0"/>
            <w:vAlign w:val="center"/>
          </w:tcPr>
          <w:p w14:paraId="3D28BEA3">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QB/T1690</w:t>
            </w:r>
          </w:p>
        </w:tc>
      </w:tr>
      <w:tr w14:paraId="59F5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810" w:type="dxa"/>
            <w:vMerge w:val="continue"/>
            <w:noWrap w:val="0"/>
            <w:vAlign w:val="center"/>
          </w:tcPr>
          <w:p w14:paraId="030D149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7996CA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29859F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GB／T18043</w:t>
            </w:r>
          </w:p>
          <w:p w14:paraId="3822777A">
            <w:pPr>
              <w:keepNext w:val="0"/>
              <w:keepLines w:val="0"/>
              <w:pageBreakBefore w:val="0"/>
              <w:kinsoku/>
              <w:wordWrap/>
              <w:overflowPunct/>
              <w:topLinePunct w:val="0"/>
              <w:bidi w:val="0"/>
              <w:snapToGrid/>
              <w:spacing w:line="600" w:lineRule="exact"/>
              <w:jc w:val="center"/>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GB11887</w:t>
            </w:r>
          </w:p>
        </w:tc>
        <w:tc>
          <w:tcPr>
            <w:tcW w:w="1653" w:type="dxa"/>
            <w:noWrap w:val="0"/>
            <w:vAlign w:val="center"/>
          </w:tcPr>
          <w:p w14:paraId="3D6E3C16">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kern w:val="0"/>
                <w:sz w:val="32"/>
                <w:szCs w:val="32"/>
                <w:lang w:eastAsia="zh-CN"/>
              </w:rPr>
              <w:t>纯度</w:t>
            </w:r>
          </w:p>
        </w:tc>
        <w:tc>
          <w:tcPr>
            <w:tcW w:w="1835" w:type="dxa"/>
            <w:noWrap w:val="0"/>
            <w:vAlign w:val="center"/>
          </w:tcPr>
          <w:p w14:paraId="68D0B005">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T18043</w:t>
            </w:r>
          </w:p>
        </w:tc>
      </w:tr>
      <w:tr w14:paraId="4A17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restart"/>
            <w:noWrap w:val="0"/>
            <w:vAlign w:val="center"/>
          </w:tcPr>
          <w:p w14:paraId="32991F2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p>
        </w:tc>
        <w:tc>
          <w:tcPr>
            <w:tcW w:w="1595" w:type="dxa"/>
            <w:vMerge w:val="restart"/>
            <w:noWrap w:val="0"/>
            <w:vAlign w:val="center"/>
          </w:tcPr>
          <w:p w14:paraId="2360EF91">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珠宝玉石</w:t>
            </w:r>
          </w:p>
        </w:tc>
        <w:tc>
          <w:tcPr>
            <w:tcW w:w="1903" w:type="dxa"/>
            <w:noWrap w:val="0"/>
            <w:vAlign w:val="center"/>
          </w:tcPr>
          <w:p w14:paraId="1DDA17F6">
            <w:pPr>
              <w:keepNext w:val="0"/>
              <w:keepLines w:val="0"/>
              <w:pageBreakBefore w:val="0"/>
              <w:widowControl/>
              <w:suppressLineNumbers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637D9C0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肉眼观察</w:t>
            </w:r>
          </w:p>
        </w:tc>
        <w:tc>
          <w:tcPr>
            <w:tcW w:w="1835" w:type="dxa"/>
            <w:noWrap w:val="0"/>
            <w:vAlign w:val="center"/>
          </w:tcPr>
          <w:p w14:paraId="35FD526D">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 4.1.1</w:t>
            </w:r>
          </w:p>
        </w:tc>
      </w:tr>
      <w:tr w14:paraId="30EE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2C5A5E87">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5979823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5988366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29469F5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放大检查</w:t>
            </w:r>
          </w:p>
        </w:tc>
        <w:tc>
          <w:tcPr>
            <w:tcW w:w="1835" w:type="dxa"/>
            <w:noWrap w:val="0"/>
            <w:vAlign w:val="center"/>
          </w:tcPr>
          <w:p w14:paraId="7B8CCA6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3E253D2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4.1.2</w:t>
            </w:r>
          </w:p>
        </w:tc>
      </w:tr>
      <w:tr w14:paraId="14B0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693ADDF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4F0B4C47">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6B480A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4A1758F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折射率、双折射率</w:t>
            </w:r>
          </w:p>
        </w:tc>
        <w:tc>
          <w:tcPr>
            <w:tcW w:w="1835" w:type="dxa"/>
            <w:noWrap w:val="0"/>
            <w:vAlign w:val="center"/>
          </w:tcPr>
          <w:p w14:paraId="72ABD72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50B6B0D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4.1.3</w:t>
            </w:r>
          </w:p>
        </w:tc>
      </w:tr>
      <w:tr w14:paraId="1530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810" w:type="dxa"/>
            <w:vMerge w:val="continue"/>
            <w:noWrap w:val="0"/>
            <w:vAlign w:val="center"/>
          </w:tcPr>
          <w:p w14:paraId="56C47FCE">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24F058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7B3C045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37DEED54">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光性特性</w:t>
            </w:r>
          </w:p>
        </w:tc>
        <w:tc>
          <w:tcPr>
            <w:tcW w:w="1835" w:type="dxa"/>
            <w:noWrap w:val="0"/>
            <w:vAlign w:val="center"/>
          </w:tcPr>
          <w:p w14:paraId="2B1F34E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787EE8B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4.1.4</w:t>
            </w:r>
          </w:p>
        </w:tc>
      </w:tr>
      <w:tr w14:paraId="35ED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jc w:val="center"/>
        </w:trPr>
        <w:tc>
          <w:tcPr>
            <w:tcW w:w="810" w:type="dxa"/>
            <w:vMerge w:val="continue"/>
            <w:noWrap w:val="0"/>
            <w:vAlign w:val="center"/>
          </w:tcPr>
          <w:p w14:paraId="09A3EED6">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8E7D024">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50E47D76">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0782FEF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二色性</w:t>
            </w:r>
          </w:p>
        </w:tc>
        <w:tc>
          <w:tcPr>
            <w:tcW w:w="1835" w:type="dxa"/>
            <w:noWrap w:val="0"/>
            <w:vAlign w:val="center"/>
          </w:tcPr>
          <w:p w14:paraId="3EA2883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215A492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4.1.</w:t>
            </w:r>
            <w:r>
              <w:rPr>
                <w:rFonts w:hint="eastAsia" w:ascii="方正仿宋_GBK" w:hAnsi="方正仿宋_GBK" w:eastAsia="方正仿宋_GBK" w:cs="方正仿宋_GBK"/>
                <w:sz w:val="32"/>
                <w:szCs w:val="32"/>
                <w:lang w:val="en-US" w:eastAsia="zh-CN"/>
              </w:rPr>
              <w:t>5</w:t>
            </w:r>
          </w:p>
        </w:tc>
      </w:tr>
      <w:tr w14:paraId="7033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6F0C9C01">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077480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1C5C1706">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158934B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荧光观察</w:t>
            </w:r>
          </w:p>
        </w:tc>
        <w:tc>
          <w:tcPr>
            <w:tcW w:w="1835" w:type="dxa"/>
            <w:noWrap w:val="0"/>
            <w:vAlign w:val="center"/>
          </w:tcPr>
          <w:p w14:paraId="31D07A6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0F1AE05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4.1.6</w:t>
            </w:r>
          </w:p>
        </w:tc>
      </w:tr>
      <w:tr w14:paraId="1781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19E4F14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28895C7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461BDA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22DA434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质量</w:t>
            </w:r>
          </w:p>
        </w:tc>
        <w:tc>
          <w:tcPr>
            <w:tcW w:w="1835" w:type="dxa"/>
            <w:noWrap w:val="0"/>
            <w:vAlign w:val="center"/>
          </w:tcPr>
          <w:p w14:paraId="6CB069BE">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04BB6C0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4.1.7</w:t>
            </w:r>
          </w:p>
        </w:tc>
      </w:tr>
      <w:tr w14:paraId="65D7F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810" w:type="dxa"/>
            <w:vMerge w:val="continue"/>
            <w:noWrap w:val="0"/>
            <w:vAlign w:val="center"/>
          </w:tcPr>
          <w:p w14:paraId="4AF5B75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2FE34B2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8E9E4E6">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19087A24">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密度</w:t>
            </w:r>
          </w:p>
        </w:tc>
        <w:tc>
          <w:tcPr>
            <w:tcW w:w="1835" w:type="dxa"/>
            <w:noWrap w:val="0"/>
            <w:vAlign w:val="center"/>
          </w:tcPr>
          <w:p w14:paraId="744ED73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13564D0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4.1.8</w:t>
            </w:r>
          </w:p>
        </w:tc>
      </w:tr>
      <w:tr w14:paraId="1A4C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810" w:type="dxa"/>
            <w:vMerge w:val="continue"/>
            <w:noWrap w:val="0"/>
            <w:vAlign w:val="center"/>
          </w:tcPr>
          <w:p w14:paraId="693C7C51">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4FBF1715">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69EBF4E">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1DEDF4AC">
            <w:pPr>
              <w:keepNext w:val="0"/>
              <w:keepLines w:val="0"/>
              <w:pageBreakBefore w:val="0"/>
              <w:widowControl/>
              <w:suppressLineNumbers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lang w:val="en-US" w:eastAsia="zh-CN" w:bidi="ar"/>
              </w:rPr>
              <w:t>红外光谱分析</w:t>
            </w:r>
          </w:p>
        </w:tc>
        <w:tc>
          <w:tcPr>
            <w:tcW w:w="1835" w:type="dxa"/>
            <w:noWrap w:val="0"/>
            <w:vAlign w:val="center"/>
          </w:tcPr>
          <w:p w14:paraId="7CB11B4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GB/T16553</w:t>
            </w:r>
          </w:p>
          <w:p w14:paraId="52D9A27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4.1.9</w:t>
            </w:r>
          </w:p>
        </w:tc>
      </w:tr>
      <w:tr w14:paraId="087E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810" w:type="dxa"/>
            <w:vMerge w:val="continue"/>
            <w:noWrap w:val="0"/>
            <w:vAlign w:val="center"/>
          </w:tcPr>
          <w:p w14:paraId="2E6526D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90F0A6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7DE73BB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4FE1AD4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bidi="ar-SA"/>
              </w:rPr>
            </w:pPr>
            <w:r>
              <w:rPr>
                <w:rFonts w:hint="eastAsia" w:ascii="方正仿宋_GBK" w:hAnsi="方正仿宋_GBK" w:eastAsia="方正仿宋_GBK" w:cs="方正仿宋_GBK"/>
                <w:kern w:val="0"/>
                <w:sz w:val="32"/>
                <w:szCs w:val="32"/>
              </w:rPr>
              <w:t>紫外可见光谱分析</w:t>
            </w:r>
          </w:p>
        </w:tc>
        <w:tc>
          <w:tcPr>
            <w:tcW w:w="1835" w:type="dxa"/>
            <w:noWrap w:val="0"/>
            <w:vAlign w:val="center"/>
          </w:tcPr>
          <w:p w14:paraId="79C0F19E">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2107F2E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rPr>
              <w:t>4.1.10</w:t>
            </w:r>
          </w:p>
        </w:tc>
      </w:tr>
      <w:tr w14:paraId="2976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810" w:type="dxa"/>
            <w:vMerge w:val="continue"/>
            <w:noWrap w:val="0"/>
            <w:vAlign w:val="center"/>
          </w:tcPr>
          <w:p w14:paraId="0BAA83C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682E918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0A05F62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14:paraId="611D084C">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热导性</w:t>
            </w:r>
          </w:p>
        </w:tc>
        <w:tc>
          <w:tcPr>
            <w:tcW w:w="1835" w:type="dxa"/>
            <w:noWrap w:val="0"/>
            <w:vAlign w:val="center"/>
          </w:tcPr>
          <w:p w14:paraId="3B139E93">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14:paraId="53ED8BB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4.1.11</w:t>
            </w:r>
          </w:p>
        </w:tc>
      </w:tr>
      <w:tr w14:paraId="4B5E3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810" w:type="dxa"/>
            <w:noWrap w:val="0"/>
            <w:vAlign w:val="center"/>
          </w:tcPr>
          <w:p w14:paraId="3E09E79F">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noWrap w:val="0"/>
            <w:vAlign w:val="center"/>
          </w:tcPr>
          <w:p w14:paraId="13DDAE2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39D920F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GB/T 16553</w:t>
            </w:r>
          </w:p>
        </w:tc>
        <w:tc>
          <w:tcPr>
            <w:tcW w:w="1653" w:type="dxa"/>
            <w:noWrap w:val="0"/>
            <w:vAlign w:val="center"/>
          </w:tcPr>
          <w:p w14:paraId="0A4B9DD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发光图像分析</w:t>
            </w:r>
          </w:p>
        </w:tc>
        <w:tc>
          <w:tcPr>
            <w:tcW w:w="1835" w:type="dxa"/>
            <w:noWrap w:val="0"/>
            <w:vAlign w:val="center"/>
          </w:tcPr>
          <w:p w14:paraId="70F4568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GB/T16553</w:t>
            </w:r>
          </w:p>
          <w:p w14:paraId="45AF564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4.1.1</w:t>
            </w:r>
            <w:r>
              <w:rPr>
                <w:rFonts w:hint="eastAsia" w:ascii="方正仿宋_GBK" w:hAnsi="方正仿宋_GBK" w:eastAsia="方正仿宋_GBK" w:cs="方正仿宋_GBK"/>
                <w:kern w:val="0"/>
                <w:sz w:val="32"/>
                <w:szCs w:val="32"/>
                <w:lang w:val="en-US" w:eastAsia="zh-CN"/>
              </w:rPr>
              <w:t>8</w:t>
            </w:r>
          </w:p>
        </w:tc>
      </w:tr>
      <w:tr w14:paraId="5A2B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restart"/>
            <w:noWrap w:val="0"/>
            <w:vAlign w:val="center"/>
          </w:tcPr>
          <w:p w14:paraId="0E8543C5">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p>
        </w:tc>
        <w:tc>
          <w:tcPr>
            <w:tcW w:w="1595" w:type="dxa"/>
            <w:vMerge w:val="restart"/>
            <w:noWrap w:val="0"/>
            <w:vAlign w:val="center"/>
          </w:tcPr>
          <w:p w14:paraId="5D7CD14B">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钻石</w:t>
            </w:r>
          </w:p>
        </w:tc>
        <w:tc>
          <w:tcPr>
            <w:tcW w:w="1903" w:type="dxa"/>
            <w:noWrap w:val="0"/>
            <w:vAlign w:val="center"/>
          </w:tcPr>
          <w:p w14:paraId="4DD5890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14:paraId="7C2D923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颜色分级</w:t>
            </w:r>
          </w:p>
        </w:tc>
        <w:tc>
          <w:tcPr>
            <w:tcW w:w="1835" w:type="dxa"/>
            <w:noWrap w:val="0"/>
            <w:vAlign w:val="center"/>
          </w:tcPr>
          <w:p w14:paraId="06B13E4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14:paraId="1857EA58">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w:t>
            </w:r>
          </w:p>
        </w:tc>
      </w:tr>
      <w:tr w14:paraId="6923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7571563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56CB6E43">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1A8AF1F4">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14:paraId="5DA79AF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净度分级</w:t>
            </w:r>
          </w:p>
        </w:tc>
        <w:tc>
          <w:tcPr>
            <w:tcW w:w="1835" w:type="dxa"/>
            <w:noWrap w:val="0"/>
            <w:vAlign w:val="center"/>
          </w:tcPr>
          <w:p w14:paraId="75B6C6B4">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14:paraId="3D8252C0">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w:t>
            </w:r>
          </w:p>
        </w:tc>
      </w:tr>
      <w:tr w14:paraId="7056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14:paraId="45B71C9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14:paraId="532A236A">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14:paraId="297E666D">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14:paraId="475262B1">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切工分级</w:t>
            </w:r>
          </w:p>
        </w:tc>
        <w:tc>
          <w:tcPr>
            <w:tcW w:w="1835" w:type="dxa"/>
            <w:noWrap w:val="0"/>
            <w:vAlign w:val="center"/>
          </w:tcPr>
          <w:p w14:paraId="0E95B319">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14:paraId="2561B0E2">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w:t>
            </w:r>
          </w:p>
        </w:tc>
      </w:tr>
    </w:tbl>
    <w:p w14:paraId="463B6867">
      <w:pPr>
        <w:keepNext w:val="0"/>
        <w:keepLines w:val="0"/>
        <w:pageBreakBefore w:val="0"/>
        <w:kinsoku/>
        <w:wordWrap/>
        <w:overflowPunct/>
        <w:topLinePunct w:val="0"/>
        <w:autoSpaceDE w:val="0"/>
        <w:autoSpaceDN w:val="0"/>
        <w:bidi w:val="0"/>
        <w:adjustRightInd w:val="0"/>
        <w:snapToGrid/>
        <w:spacing w:line="600" w:lineRule="exact"/>
        <w:ind w:firstLine="640" w:firstLineChars="200"/>
        <w:jc w:val="center"/>
        <w:textAlignment w:val="auto"/>
        <w:rPr>
          <w:rFonts w:hint="eastAsia" w:ascii="方正仿宋_GBK" w:hAnsi="方正仿宋_GBK" w:eastAsia="方正仿宋_GBK" w:cs="方正仿宋_GBK"/>
          <w:bCs/>
          <w:kern w:val="2"/>
          <w:sz w:val="32"/>
          <w:szCs w:val="32"/>
          <w:lang w:val="en-US" w:eastAsia="zh-CN" w:bidi="ar-SA"/>
        </w:rPr>
      </w:pPr>
    </w:p>
    <w:p w14:paraId="5307E7CD">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4.2 产品标识检查</w:t>
      </w:r>
    </w:p>
    <w:p w14:paraId="02E6A0F2">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 xml:space="preserve">贵金属、珠宝饰品产品标识（包括印记、标签、说明书、合格证、包装等）检查内容包括： </w:t>
      </w:r>
    </w:p>
    <w:p w14:paraId="420A66AF">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1、贵金属类产品印记：检查是否按照GB11887-2012《首饰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标准的要求，标注齐全。</w:t>
      </w:r>
    </w:p>
    <w:p w14:paraId="646B65B9">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2、贵金属纯度命名的正确性：检查是否符合GB11887-2012《首饰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标准规定的要求；</w:t>
      </w:r>
    </w:p>
    <w:p w14:paraId="0B18BB7A">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3、珠宝饰品名称的正确性：标注的珠宝饰品名称与检测结果是否存在实质性的不一致，包括产品名称是否错误、合成及处理方法是否标注等； </w:t>
      </w:r>
    </w:p>
    <w:p w14:paraId="6EAE3FB3">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4、珠宝饰品名称的规范性：检查是否符合GB/T16552-2017《珠宝玉石 名称》标准的命名规则。</w:t>
      </w:r>
    </w:p>
    <w:p w14:paraId="7B587F82">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kern w:val="0"/>
          <w:sz w:val="32"/>
          <w:szCs w:val="32"/>
          <w:lang w:val="en-US" w:eastAsia="zh-CN"/>
        </w:rPr>
        <w:t>5、标签内容是否齐全、正确：检查是否符合GB11887-2012《首饰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、GB/T 31912-2015《饰品 标识》标准的要求。</w:t>
      </w:r>
    </w:p>
    <w:p w14:paraId="4B7D7ABD">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eastAsia="zh-CN"/>
        </w:rPr>
        <w:t>五、判定原则</w:t>
      </w:r>
    </w:p>
    <w:p w14:paraId="3FA337E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65AE7967">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B18167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4A881B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08FD1A4">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0851DC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65F94F4">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六、</w:t>
      </w:r>
      <w:r>
        <w:rPr>
          <w:rFonts w:hint="eastAsia" w:ascii="方正黑体_GBK" w:hAnsi="方正黑体_GBK" w:eastAsia="方正黑体_GBK" w:cs="方正黑体_GBK"/>
          <w:kern w:val="0"/>
          <w:sz w:val="32"/>
          <w:szCs w:val="32"/>
        </w:rPr>
        <w:t>异议处理</w:t>
      </w:r>
    </w:p>
    <w:p w14:paraId="426213BC">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6.1 </w:t>
      </w:r>
      <w:r>
        <w:rPr>
          <w:rFonts w:hint="eastAsia" w:ascii="方正仿宋_GBK" w:hAnsi="方正仿宋_GBK" w:eastAsia="方正仿宋_GBK" w:cs="方正仿宋_GBK"/>
          <w:kern w:val="0"/>
          <w:sz w:val="32"/>
          <w:szCs w:val="32"/>
        </w:rPr>
        <w:t>对不合格产品的异议处理，按以下方式进行：</w:t>
      </w:r>
    </w:p>
    <w:p w14:paraId="5387ED35">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a）核查不合格项目相关证据，能够以记录（纸质、电子或影像记录）或与不合格项目相关联的其它质量数据等证明原结论；</w:t>
      </w:r>
    </w:p>
    <w:p w14:paraId="185B518F">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b）对复检并具备检验条件的，按照监督抽查方案对检验样品进行复检并出具报告；</w:t>
      </w:r>
    </w:p>
    <w:p w14:paraId="3EFC8CCD">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c）对样品信息有异议的，核查样品确认情况和生产企业提交证明材料，提出处理建议。</w:t>
      </w:r>
    </w:p>
    <w:p w14:paraId="7B33B56B">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6.2 </w:t>
      </w:r>
      <w:r>
        <w:rPr>
          <w:rFonts w:hint="eastAsia" w:ascii="方正仿宋_GBK" w:hAnsi="方正仿宋_GBK" w:eastAsia="方正仿宋_GBK" w:cs="方正仿宋_GBK"/>
          <w:kern w:val="0"/>
          <w:sz w:val="32"/>
          <w:szCs w:val="32"/>
        </w:rPr>
        <w:t>留样再测</w:t>
      </w:r>
    </w:p>
    <w:p w14:paraId="288C3D5E">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本次监督抽查检测方法为无损检测，原样可进行多次检测，且不影响检测结果。留样再测项目与检测项目相同</w:t>
      </w:r>
      <w:r>
        <w:rPr>
          <w:rFonts w:hint="eastAsia" w:ascii="方正仿宋_GBK" w:hAnsi="方正仿宋_GBK" w:eastAsia="方正仿宋_GBK" w:cs="方正仿宋_GBK"/>
          <w:kern w:val="0"/>
          <w:sz w:val="32"/>
          <w:szCs w:val="32"/>
          <w:lang w:eastAsia="zh-CN"/>
        </w:rPr>
        <w:t>。</w:t>
      </w:r>
    </w:p>
    <w:p w14:paraId="509730D9">
      <w:pPr>
        <w:kinsoku/>
        <w:wordWrap/>
        <w:overflowPunct/>
        <w:topLinePunct w:val="0"/>
        <w:bidi w:val="0"/>
        <w:spacing w:line="600" w:lineRule="exact"/>
        <w:rPr>
          <w:rFonts w:hint="eastAsia" w:asciiTheme="minorEastAsia" w:hAnsiTheme="minorEastAsia" w:eastAsiaTheme="minorEastAsia" w:cstheme="minor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5BE1480F-FAA5-4005-B1B6-18E5490B2A7B}"/>
  </w:font>
  <w:font w:name="方正黑体_GBK">
    <w:panose1 w:val="02000000000000000000"/>
    <w:charset w:val="86"/>
    <w:family w:val="auto"/>
    <w:pitch w:val="default"/>
    <w:sig w:usb0="A00002BF" w:usb1="38CF7CFA" w:usb2="00082016" w:usb3="00000000" w:csb0="00040001" w:csb1="00000000"/>
    <w:embedRegular r:id="rId2" w:fontKey="{DD665C43-D843-46C0-8196-AAE9BB66DABE}"/>
  </w:font>
  <w:font w:name="方正仿宋_GBK">
    <w:panose1 w:val="03000509000000000000"/>
    <w:charset w:val="86"/>
    <w:family w:val="auto"/>
    <w:pitch w:val="default"/>
    <w:sig w:usb0="00000001" w:usb1="080E0000" w:usb2="00000000" w:usb3="00000000" w:csb0="00040000" w:csb1="00000000"/>
    <w:embedRegular r:id="rId3" w:fontKey="{95E054B8-D5ED-41CC-93BB-D915BDAD45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8820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8C2B9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8C2B9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Zjk3MDEzYjcxYTExOWE2MDcyZDY1NGVjMTJhYTUifQ=="/>
  </w:docVars>
  <w:rsids>
    <w:rsidRoot w:val="00397D58"/>
    <w:rsid w:val="000F755D"/>
    <w:rsid w:val="00107BEE"/>
    <w:rsid w:val="001C61FA"/>
    <w:rsid w:val="002D6CD2"/>
    <w:rsid w:val="0035540C"/>
    <w:rsid w:val="00397D58"/>
    <w:rsid w:val="003B4B99"/>
    <w:rsid w:val="00574618"/>
    <w:rsid w:val="005773BF"/>
    <w:rsid w:val="005C5779"/>
    <w:rsid w:val="009810FC"/>
    <w:rsid w:val="00A06245"/>
    <w:rsid w:val="00AF5C1F"/>
    <w:rsid w:val="00BF5D9B"/>
    <w:rsid w:val="00E7773A"/>
    <w:rsid w:val="00E9762F"/>
    <w:rsid w:val="00EC4A1B"/>
    <w:rsid w:val="00EF5892"/>
    <w:rsid w:val="00F26BD3"/>
    <w:rsid w:val="03FA7E3F"/>
    <w:rsid w:val="043568A1"/>
    <w:rsid w:val="054F6C10"/>
    <w:rsid w:val="083D0D71"/>
    <w:rsid w:val="123C33C2"/>
    <w:rsid w:val="2074165D"/>
    <w:rsid w:val="20AD442C"/>
    <w:rsid w:val="26E356D8"/>
    <w:rsid w:val="284B2D23"/>
    <w:rsid w:val="2E7C72C0"/>
    <w:rsid w:val="2F7BE103"/>
    <w:rsid w:val="344830A0"/>
    <w:rsid w:val="360E30EA"/>
    <w:rsid w:val="368A1E9C"/>
    <w:rsid w:val="39A41139"/>
    <w:rsid w:val="39DA5E57"/>
    <w:rsid w:val="3A617B60"/>
    <w:rsid w:val="3B9306B4"/>
    <w:rsid w:val="3B9F4001"/>
    <w:rsid w:val="3CC22A6C"/>
    <w:rsid w:val="546D3F89"/>
    <w:rsid w:val="561B3EF5"/>
    <w:rsid w:val="57EC3417"/>
    <w:rsid w:val="58DE6754"/>
    <w:rsid w:val="610854F5"/>
    <w:rsid w:val="698260EF"/>
    <w:rsid w:val="76BE61D4"/>
    <w:rsid w:val="7D90280C"/>
    <w:rsid w:val="FF5FED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7"/>
    <w:autoRedefine/>
    <w:semiHidden/>
    <w:unhideWhenUsed/>
    <w:qFormat/>
    <w:uiPriority w:val="99"/>
    <w:pPr>
      <w:ind w:left="100" w:leftChars="2500"/>
    </w:p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Char"/>
    <w:basedOn w:val="6"/>
    <w:link w:val="2"/>
    <w:autoRedefine/>
    <w:semiHidden/>
    <w:qFormat/>
    <w:uiPriority w:val="99"/>
  </w:style>
  <w:style w:type="character" w:customStyle="1" w:styleId="8">
    <w:name w:val="页眉 Char"/>
    <w:basedOn w:val="6"/>
    <w:link w:val="4"/>
    <w:autoRedefine/>
    <w:semiHidden/>
    <w:qFormat/>
    <w:uiPriority w:val="99"/>
    <w:rPr>
      <w:sz w:val="18"/>
      <w:szCs w:val="18"/>
    </w:rPr>
  </w:style>
  <w:style w:type="character" w:customStyle="1" w:styleId="9">
    <w:name w:val="页脚 Char"/>
    <w:basedOn w:val="6"/>
    <w:link w:val="3"/>
    <w:autoRedefine/>
    <w:semiHidden/>
    <w:qFormat/>
    <w:uiPriority w:val="99"/>
    <w:rPr>
      <w:sz w:val="18"/>
      <w:szCs w:val="18"/>
    </w:rPr>
  </w:style>
  <w:style w:type="paragraph" w:customStyle="1" w:styleId="10">
    <w:name w:val="p0"/>
    <w:basedOn w:val="1"/>
    <w:qFormat/>
    <w:uiPriority w:val="99"/>
    <w:pPr>
      <w:widowControl/>
      <w:autoSpaceDE w:val="0"/>
      <w:autoSpaceDN w:val="0"/>
      <w:jc w:val="left"/>
    </w:pPr>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1759</Words>
  <Characters>2259</Characters>
  <Lines>33</Lines>
  <Paragraphs>9</Paragraphs>
  <TotalTime>3944</TotalTime>
  <ScaleCrop>false</ScaleCrop>
  <LinksUpToDate>false</LinksUpToDate>
  <CharactersWithSpaces>2302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2020-11-09T14:31:00Z</dcterms:created>
  <dc:creator>user</dc:creator>
  <cp:lastModifiedBy>月華凝霜醒時仍需三分酒</cp:lastModifiedBy>
  <cp:lastPrinted>2020-11-10T10:25:00Z</cp:lastPrinted>
  <dcterms:modified xsi:type="dcterms:W3CDTF">2025-04-29T08:10:57Z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096834CE23074395B6E7E332FCA5CDF1_13</vt:lpwstr>
  </property>
  <property fmtid="{D5CDD505-2E9C-101B-9397-08002B2CF9AE}" pid="4" name="KSOTemplateDocerSaveRecord">
    <vt:lpwstr>eyJoZGlkIjoiZTJiZTUyN2M5MGIwOWM0ZDA4ODM4NzgzZjBlNjMyZmMiLCJ1c2VySWQiOiI2MjkwNzMzODQifQ==</vt:lpwstr>
  </property>
</Properties>
</file>