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FD9B3" w14:textId="77777777" w:rsidR="00C84B36" w:rsidRDefault="00D65AD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南通市太阳镜产品质量监督抽查实施细则</w:t>
      </w:r>
    </w:p>
    <w:p w14:paraId="7F3F6FFA" w14:textId="77777777" w:rsidR="00C84B36" w:rsidRDefault="00D65AD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Pr>
          <w:rFonts w:ascii="方正小标宋_GBK" w:eastAsia="方正小标宋_GBK" w:hAnsi="方正小标宋_GBK" w:cs="方正小标宋_GBK" w:hint="eastAsia"/>
          <w:color w:val="000000"/>
          <w:sz w:val="44"/>
          <w:szCs w:val="44"/>
        </w:rPr>
        <w:t>2025</w:t>
      </w:r>
      <w:r>
        <w:rPr>
          <w:rFonts w:ascii="方正小标宋_GBK" w:eastAsia="方正小标宋_GBK" w:hAnsi="方正小标宋_GBK" w:cs="方正小标宋_GBK" w:hint="eastAsia"/>
          <w:color w:val="000000"/>
          <w:sz w:val="44"/>
          <w:szCs w:val="44"/>
        </w:rPr>
        <w:t>年版）</w:t>
      </w:r>
    </w:p>
    <w:p w14:paraId="49AF2F91" w14:textId="77777777" w:rsidR="00C84B36" w:rsidRDefault="00D65AD8">
      <w:pPr>
        <w:spacing w:line="600" w:lineRule="exact"/>
        <w:ind w:firstLineChars="200" w:firstLine="640"/>
        <w:rPr>
          <w:rFonts w:ascii="方正黑体_GBK" w:eastAsia="方正黑体_GBK" w:hAnsi="方正黑体_GBK" w:cs="方正仿宋_GBK"/>
          <w:sz w:val="32"/>
          <w:szCs w:val="32"/>
        </w:rPr>
      </w:pPr>
      <w:r>
        <w:rPr>
          <w:rFonts w:ascii="方正黑体_GBK" w:eastAsia="方正黑体_GBK" w:hAnsi="方正黑体_GBK" w:cs="方正仿宋_GBK" w:hint="eastAsia"/>
          <w:sz w:val="32"/>
          <w:szCs w:val="32"/>
        </w:rPr>
        <w:t>1.</w:t>
      </w:r>
      <w:r>
        <w:rPr>
          <w:rFonts w:ascii="方正黑体_GBK" w:eastAsia="方正黑体_GBK" w:hAnsi="方正黑体_GBK" w:cs="方正仿宋_GBK" w:hint="eastAsia"/>
          <w:sz w:val="32"/>
          <w:szCs w:val="32"/>
        </w:rPr>
        <w:t>范围</w:t>
      </w:r>
    </w:p>
    <w:p w14:paraId="75599321"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本细则适用于南通市市场监督管理局组织的太阳镜产品质量监督抽查检验。本细则规定了此产品的抽样方法、检验依据、检验项目、检验方法、判定原则、异议处理及复检。</w:t>
      </w:r>
    </w:p>
    <w:p w14:paraId="77DB3605" w14:textId="77777777" w:rsidR="00C84B36" w:rsidRDefault="00D65AD8">
      <w:pPr>
        <w:spacing w:line="600" w:lineRule="exact"/>
        <w:ind w:firstLineChars="200" w:firstLine="640"/>
        <w:rPr>
          <w:rFonts w:ascii="方正黑体_GBK" w:eastAsia="方正黑体_GBK" w:hAnsi="方正黑体_GBK" w:cs="方正仿宋_GBK"/>
          <w:sz w:val="32"/>
          <w:szCs w:val="32"/>
        </w:rPr>
      </w:pPr>
      <w:r>
        <w:rPr>
          <w:rFonts w:ascii="方正黑体_GBK" w:eastAsia="方正黑体_GBK" w:hAnsi="方正黑体_GBK" w:cs="方正仿宋_GBK" w:hint="eastAsia"/>
          <w:sz w:val="32"/>
          <w:szCs w:val="32"/>
        </w:rPr>
        <w:t>2.</w:t>
      </w:r>
      <w:r>
        <w:rPr>
          <w:rFonts w:ascii="方正黑体_GBK" w:eastAsia="方正黑体_GBK" w:hAnsi="方正黑体_GBK" w:cs="方正仿宋_GBK" w:hint="eastAsia"/>
          <w:sz w:val="32"/>
          <w:szCs w:val="32"/>
        </w:rPr>
        <w:t>抽样方法</w:t>
      </w:r>
    </w:p>
    <w:p w14:paraId="25D8BC1C"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在市场待销产品中随机抽取有产品质量检验合格证明或者以其他形式表明合格的、近期生产的产品。随机抽取样品</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副，不抽取备样。同一生产企业按照同一标准生产的同一商标、同一规格型号产品在同一抽样领域不得重复抽样。每个地区原则上应当尽量覆盖商场、超市、专卖店或便利店（杂货店）</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类实体店，若地区实体店不能完全覆盖</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类实体店的，根据区域实际分布情况进行调整，尽量保证该地区总抽样数不变。</w:t>
      </w:r>
      <w:r>
        <w:rPr>
          <w:rFonts w:ascii="方正仿宋_GBK" w:eastAsia="方正仿宋_GBK" w:hAnsi="方正仿宋_GBK" w:cs="方正仿宋_GBK" w:hint="eastAsia"/>
          <w:sz w:val="32"/>
          <w:szCs w:val="32"/>
        </w:rPr>
        <w:t xml:space="preserve"> </w:t>
      </w:r>
    </w:p>
    <w:p w14:paraId="7D04FAF6"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为确保样品的完好有效，每副太阳镜应附有完整的出厂标识、标签等。在运输和寄送过程中应适当防护，防止样品变形或破损。</w:t>
      </w:r>
    </w:p>
    <w:p w14:paraId="2FECFC55" w14:textId="77777777" w:rsidR="00C84B36" w:rsidRDefault="00D65AD8">
      <w:pPr>
        <w:spacing w:line="600" w:lineRule="exact"/>
        <w:ind w:firstLineChars="200" w:firstLine="640"/>
        <w:rPr>
          <w:rFonts w:ascii="方正黑体_GBK" w:eastAsia="方正黑体_GBK" w:hAnsi="方正黑体_GBK" w:cs="方正仿宋_GBK"/>
          <w:sz w:val="32"/>
          <w:szCs w:val="32"/>
        </w:rPr>
      </w:pPr>
      <w:r>
        <w:rPr>
          <w:rFonts w:ascii="方正黑体_GBK" w:eastAsia="方正黑体_GBK" w:hAnsi="方正黑体_GBK" w:cs="方正仿宋_GBK" w:hint="eastAsia"/>
          <w:sz w:val="32"/>
          <w:szCs w:val="32"/>
        </w:rPr>
        <w:t>3.</w:t>
      </w:r>
      <w:r>
        <w:rPr>
          <w:rFonts w:ascii="方正黑体_GBK" w:eastAsia="方正黑体_GBK" w:hAnsi="方正黑体_GBK" w:cs="方正仿宋_GBK" w:hint="eastAsia"/>
          <w:sz w:val="32"/>
          <w:szCs w:val="32"/>
        </w:rPr>
        <w:t>检验依据</w:t>
      </w:r>
    </w:p>
    <w:p w14:paraId="722829AF" w14:textId="77777777" w:rsidR="00C84B36" w:rsidRDefault="00D65AD8">
      <w:pPr>
        <w:widowControl/>
        <w:spacing w:line="600" w:lineRule="exact"/>
        <w:ind w:firstLineChars="900" w:firstLine="2880"/>
        <w:rPr>
          <w:rFonts w:ascii="方正黑体_GBK" w:eastAsia="方正黑体_GBK" w:hAnsi="方正黑体_GBK" w:cs="方正仿宋_GBK"/>
          <w:sz w:val="32"/>
          <w:szCs w:val="32"/>
        </w:rPr>
      </w:pPr>
      <w:r>
        <w:rPr>
          <w:rFonts w:ascii="方正仿宋_GBK" w:eastAsia="方正仿宋_GBK" w:hint="eastAsia"/>
          <w:color w:val="000000"/>
          <w:sz w:val="32"/>
          <w:szCs w:val="32"/>
        </w:rPr>
        <w:t>表</w:t>
      </w:r>
      <w:r>
        <w:rPr>
          <w:rFonts w:ascii="方正仿宋_GBK" w:eastAsia="方正仿宋_GBK" w:hint="eastAsia"/>
          <w:color w:val="000000"/>
          <w:sz w:val="32"/>
          <w:szCs w:val="32"/>
        </w:rPr>
        <w:t xml:space="preserve">1 </w:t>
      </w:r>
      <w:r>
        <w:rPr>
          <w:rFonts w:ascii="方正仿宋_GBK" w:eastAsia="方正仿宋_GBK" w:hint="eastAsia"/>
          <w:color w:val="000000"/>
          <w:sz w:val="32"/>
          <w:szCs w:val="32"/>
        </w:rPr>
        <w:t>检</w:t>
      </w:r>
      <w:r>
        <w:rPr>
          <w:rFonts w:ascii="方正仿宋_GBK" w:eastAsia="方正仿宋_GBK" w:hint="eastAsia"/>
          <w:color w:val="000000"/>
          <w:sz w:val="32"/>
          <w:szCs w:val="32"/>
        </w:rPr>
        <w:t>验项目及依据</w:t>
      </w:r>
    </w:p>
    <w:tbl>
      <w:tblPr>
        <w:tblW w:w="8841" w:type="dxa"/>
        <w:jc w:val="center"/>
        <w:tblBorders>
          <w:top w:val="single" w:sz="4" w:space="0" w:color="auto"/>
          <w:left w:val="single" w:sz="6"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5"/>
        <w:gridCol w:w="2017"/>
        <w:gridCol w:w="2730"/>
        <w:gridCol w:w="3239"/>
      </w:tblGrid>
      <w:tr w:rsidR="00C84B36" w14:paraId="47E3274C" w14:textId="77777777">
        <w:trPr>
          <w:cantSplit/>
          <w:trHeight w:val="930"/>
          <w:tblHeader/>
          <w:jc w:val="center"/>
        </w:trPr>
        <w:tc>
          <w:tcPr>
            <w:tcW w:w="855" w:type="dxa"/>
            <w:vAlign w:val="center"/>
          </w:tcPr>
          <w:p w14:paraId="4365288D"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序号</w:t>
            </w:r>
          </w:p>
        </w:tc>
        <w:tc>
          <w:tcPr>
            <w:tcW w:w="2017" w:type="dxa"/>
            <w:vAlign w:val="center"/>
          </w:tcPr>
          <w:p w14:paraId="56C00BED"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检验检测项目</w:t>
            </w:r>
          </w:p>
        </w:tc>
        <w:tc>
          <w:tcPr>
            <w:tcW w:w="2730" w:type="dxa"/>
            <w:vAlign w:val="center"/>
          </w:tcPr>
          <w:p w14:paraId="49544759"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检验检测依据</w:t>
            </w:r>
          </w:p>
        </w:tc>
        <w:tc>
          <w:tcPr>
            <w:tcW w:w="3239" w:type="dxa"/>
            <w:vAlign w:val="center"/>
          </w:tcPr>
          <w:p w14:paraId="04A9250B"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检验检测方法</w:t>
            </w:r>
          </w:p>
        </w:tc>
      </w:tr>
      <w:tr w:rsidR="00C84B36" w14:paraId="7CCC9A64" w14:textId="77777777">
        <w:trPr>
          <w:cantSplit/>
          <w:trHeight w:val="120"/>
          <w:jc w:val="center"/>
        </w:trPr>
        <w:tc>
          <w:tcPr>
            <w:tcW w:w="855" w:type="dxa"/>
            <w:vAlign w:val="center"/>
          </w:tcPr>
          <w:p w14:paraId="31A21918"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p>
        </w:tc>
        <w:tc>
          <w:tcPr>
            <w:tcW w:w="2017" w:type="dxa"/>
            <w:vAlign w:val="center"/>
          </w:tcPr>
          <w:p w14:paraId="5C04B5EB"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可见光透射比</w:t>
            </w:r>
          </w:p>
        </w:tc>
        <w:tc>
          <w:tcPr>
            <w:tcW w:w="2730" w:type="dxa"/>
            <w:vMerge w:val="restart"/>
            <w:vAlign w:val="center"/>
          </w:tcPr>
          <w:p w14:paraId="683773C9"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39552.1-2020</w:t>
            </w:r>
          </w:p>
          <w:p w14:paraId="171C6DAE"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1908A803"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206888B2"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27DE5DB2"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69A3BAAC"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39B6AA70"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07FE6E0C"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24EDEC3B" w14:textId="77777777" w:rsidR="00C84B36" w:rsidRDefault="00C84B36">
            <w:pPr>
              <w:snapToGrid w:val="0"/>
              <w:spacing w:line="600" w:lineRule="exact"/>
              <w:rPr>
                <w:rFonts w:ascii="方正仿宋_GBK" w:eastAsia="方正仿宋_GBK" w:hAnsi="方正仿宋_GBK" w:cs="方正仿宋_GBK"/>
                <w:sz w:val="32"/>
                <w:szCs w:val="32"/>
              </w:rPr>
            </w:pPr>
          </w:p>
          <w:p w14:paraId="44094488" w14:textId="13708F9D" w:rsidR="00C84B36" w:rsidRDefault="00D65AD8" w:rsidP="00A97B2F">
            <w:pPr>
              <w:snapToGrid w:val="0"/>
              <w:spacing w:line="60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39552.1-2020</w:t>
            </w:r>
          </w:p>
        </w:tc>
        <w:tc>
          <w:tcPr>
            <w:tcW w:w="3239" w:type="dxa"/>
            <w:vMerge w:val="restart"/>
            <w:vAlign w:val="center"/>
          </w:tcPr>
          <w:p w14:paraId="3A778052"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 xml:space="preserve"> </w:t>
            </w:r>
            <w:r>
              <w:rPr>
                <w:rFonts w:ascii="方正仿宋_GBK" w:eastAsia="方正仿宋_GBK" w:hAnsi="方正仿宋_GBK" w:cs="方正仿宋_GBK" w:hint="eastAsia"/>
                <w:sz w:val="32"/>
                <w:szCs w:val="32"/>
              </w:rPr>
              <w:t>GB/T 39552.2-2020</w:t>
            </w:r>
          </w:p>
          <w:p w14:paraId="4E1B14AD"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2EEE6C9E"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092FAE24"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26E31CCE"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266C6B26"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18AD0791"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09AC9536"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32421B10" w14:textId="77777777" w:rsidR="00C84B36" w:rsidRDefault="00C84B36">
            <w:pPr>
              <w:snapToGrid w:val="0"/>
              <w:spacing w:line="600" w:lineRule="exact"/>
              <w:jc w:val="center"/>
              <w:rPr>
                <w:rFonts w:ascii="方正仿宋_GBK" w:eastAsia="方正仿宋_GBK" w:hAnsi="方正仿宋_GBK" w:cs="方正仿宋_GBK"/>
                <w:sz w:val="32"/>
                <w:szCs w:val="32"/>
              </w:rPr>
            </w:pPr>
          </w:p>
          <w:p w14:paraId="682193A0"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GB/T 39552.2-2020</w:t>
            </w:r>
          </w:p>
          <w:p w14:paraId="1F935340"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10810.1-2005</w:t>
            </w:r>
          </w:p>
          <w:p w14:paraId="5A2FD6E0" w14:textId="4DD01A71" w:rsidR="00C84B36" w:rsidRDefault="00D65AD8" w:rsidP="00A97B2F">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ISO 12311:2013</w:t>
            </w:r>
          </w:p>
        </w:tc>
      </w:tr>
      <w:tr w:rsidR="00C84B36" w14:paraId="0B99C1A2" w14:textId="77777777">
        <w:trPr>
          <w:cantSplit/>
          <w:trHeight w:val="120"/>
          <w:jc w:val="center"/>
        </w:trPr>
        <w:tc>
          <w:tcPr>
            <w:tcW w:w="855" w:type="dxa"/>
            <w:vAlign w:val="center"/>
          </w:tcPr>
          <w:p w14:paraId="355B30B7"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2</w:t>
            </w:r>
          </w:p>
        </w:tc>
        <w:tc>
          <w:tcPr>
            <w:tcW w:w="2017" w:type="dxa"/>
            <w:vAlign w:val="center"/>
          </w:tcPr>
          <w:p w14:paraId="67C9E11C"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太阳紫外</w:t>
            </w:r>
            <w:r>
              <w:rPr>
                <w:rFonts w:ascii="方正仿宋_GBK" w:eastAsia="方正仿宋_GBK" w:hAnsi="方正仿宋_GBK" w:cs="方正仿宋_GBK" w:hint="eastAsia"/>
                <w:sz w:val="32"/>
                <w:szCs w:val="32"/>
              </w:rPr>
              <w:t>A</w:t>
            </w:r>
            <w:r>
              <w:rPr>
                <w:rFonts w:ascii="方正仿宋_GBK" w:eastAsia="方正仿宋_GBK" w:hAnsi="方正仿宋_GBK" w:cs="方正仿宋_GBK" w:hint="eastAsia"/>
                <w:sz w:val="32"/>
                <w:szCs w:val="32"/>
              </w:rPr>
              <w:t>波段透射比</w:t>
            </w:r>
          </w:p>
        </w:tc>
        <w:tc>
          <w:tcPr>
            <w:tcW w:w="2730" w:type="dxa"/>
            <w:vMerge/>
            <w:vAlign w:val="center"/>
          </w:tcPr>
          <w:p w14:paraId="615849EA"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3DB36284"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48DB0410" w14:textId="77777777">
        <w:trPr>
          <w:cantSplit/>
          <w:trHeight w:val="120"/>
          <w:jc w:val="center"/>
        </w:trPr>
        <w:tc>
          <w:tcPr>
            <w:tcW w:w="855" w:type="dxa"/>
            <w:vAlign w:val="center"/>
          </w:tcPr>
          <w:p w14:paraId="4182D563"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p>
        </w:tc>
        <w:tc>
          <w:tcPr>
            <w:tcW w:w="2017" w:type="dxa"/>
            <w:vAlign w:val="center"/>
          </w:tcPr>
          <w:p w14:paraId="79B4A810"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太阳紫外</w:t>
            </w:r>
            <w:r>
              <w:rPr>
                <w:rFonts w:ascii="方正仿宋_GBK" w:eastAsia="方正仿宋_GBK" w:hAnsi="方正仿宋_GBK" w:cs="方正仿宋_GBK" w:hint="eastAsia"/>
                <w:sz w:val="32"/>
                <w:szCs w:val="32"/>
              </w:rPr>
              <w:t>B</w:t>
            </w:r>
            <w:r>
              <w:rPr>
                <w:rFonts w:ascii="方正仿宋_GBK" w:eastAsia="方正仿宋_GBK" w:hAnsi="方正仿宋_GBK" w:cs="方正仿宋_GBK" w:hint="eastAsia"/>
                <w:sz w:val="32"/>
                <w:szCs w:val="32"/>
              </w:rPr>
              <w:t>波段透射比</w:t>
            </w:r>
          </w:p>
        </w:tc>
        <w:tc>
          <w:tcPr>
            <w:tcW w:w="2730" w:type="dxa"/>
            <w:vMerge/>
            <w:vAlign w:val="center"/>
          </w:tcPr>
          <w:p w14:paraId="3DC942FB"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6D5B0911"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3C274A91" w14:textId="77777777">
        <w:trPr>
          <w:cantSplit/>
          <w:trHeight w:val="120"/>
          <w:jc w:val="center"/>
        </w:trPr>
        <w:tc>
          <w:tcPr>
            <w:tcW w:w="855" w:type="dxa"/>
            <w:vAlign w:val="center"/>
          </w:tcPr>
          <w:p w14:paraId="26555FC7"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p>
        </w:tc>
        <w:tc>
          <w:tcPr>
            <w:tcW w:w="2017" w:type="dxa"/>
            <w:vAlign w:val="center"/>
          </w:tcPr>
          <w:p w14:paraId="7A45DBAB"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透射比均匀性</w:t>
            </w:r>
          </w:p>
        </w:tc>
        <w:tc>
          <w:tcPr>
            <w:tcW w:w="2730" w:type="dxa"/>
            <w:vMerge/>
            <w:vAlign w:val="center"/>
          </w:tcPr>
          <w:p w14:paraId="3D7D4A73"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7E04658F"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6C452C38" w14:textId="77777777">
        <w:trPr>
          <w:cantSplit/>
          <w:trHeight w:val="120"/>
          <w:jc w:val="center"/>
        </w:trPr>
        <w:tc>
          <w:tcPr>
            <w:tcW w:w="855" w:type="dxa"/>
            <w:vAlign w:val="center"/>
          </w:tcPr>
          <w:p w14:paraId="5E729887"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w:t>
            </w:r>
          </w:p>
        </w:tc>
        <w:tc>
          <w:tcPr>
            <w:tcW w:w="2017" w:type="dxa"/>
            <w:vAlign w:val="center"/>
          </w:tcPr>
          <w:p w14:paraId="3409256C"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结构</w:t>
            </w:r>
          </w:p>
        </w:tc>
        <w:tc>
          <w:tcPr>
            <w:tcW w:w="2730" w:type="dxa"/>
            <w:vMerge/>
            <w:vAlign w:val="center"/>
          </w:tcPr>
          <w:p w14:paraId="3EB14E39"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406770D6"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0AB8F5A6" w14:textId="77777777">
        <w:trPr>
          <w:cantSplit/>
          <w:trHeight w:val="120"/>
          <w:jc w:val="center"/>
        </w:trPr>
        <w:tc>
          <w:tcPr>
            <w:tcW w:w="855" w:type="dxa"/>
            <w:vAlign w:val="center"/>
          </w:tcPr>
          <w:p w14:paraId="7FB90D1E"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6</w:t>
            </w:r>
          </w:p>
        </w:tc>
        <w:tc>
          <w:tcPr>
            <w:tcW w:w="2017" w:type="dxa"/>
            <w:vAlign w:val="center"/>
          </w:tcPr>
          <w:p w14:paraId="3F4A7A47"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镜片的材料和表面质量</w:t>
            </w:r>
          </w:p>
        </w:tc>
        <w:tc>
          <w:tcPr>
            <w:tcW w:w="2730" w:type="dxa"/>
            <w:vMerge/>
            <w:vAlign w:val="center"/>
          </w:tcPr>
          <w:p w14:paraId="749CDB2B"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06E6D172"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16AB9092" w14:textId="77777777">
        <w:trPr>
          <w:cantSplit/>
          <w:trHeight w:val="70"/>
          <w:jc w:val="center"/>
        </w:trPr>
        <w:tc>
          <w:tcPr>
            <w:tcW w:w="855" w:type="dxa"/>
            <w:vAlign w:val="center"/>
          </w:tcPr>
          <w:p w14:paraId="1F319AB3"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7</w:t>
            </w:r>
          </w:p>
        </w:tc>
        <w:tc>
          <w:tcPr>
            <w:tcW w:w="2017" w:type="dxa"/>
            <w:vAlign w:val="center"/>
          </w:tcPr>
          <w:p w14:paraId="64C0D7BC"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偏振效率</w:t>
            </w:r>
          </w:p>
        </w:tc>
        <w:tc>
          <w:tcPr>
            <w:tcW w:w="2730" w:type="dxa"/>
            <w:vMerge/>
            <w:vAlign w:val="center"/>
          </w:tcPr>
          <w:p w14:paraId="30E675BF"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5C5AB6C1"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0AC5EB36" w14:textId="77777777">
        <w:trPr>
          <w:cantSplit/>
          <w:trHeight w:val="70"/>
          <w:jc w:val="center"/>
        </w:trPr>
        <w:tc>
          <w:tcPr>
            <w:tcW w:w="855" w:type="dxa"/>
            <w:vAlign w:val="center"/>
          </w:tcPr>
          <w:p w14:paraId="1A1C2167"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8</w:t>
            </w:r>
          </w:p>
        </w:tc>
        <w:tc>
          <w:tcPr>
            <w:tcW w:w="2017" w:type="dxa"/>
            <w:vAlign w:val="center"/>
          </w:tcPr>
          <w:p w14:paraId="2DD8D7AA"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透射比的</w:t>
            </w:r>
            <w:bookmarkStart w:id="0" w:name="_GoBack"/>
            <w:bookmarkEnd w:id="0"/>
          </w:p>
          <w:p w14:paraId="07DBB6B6"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明示要求</w:t>
            </w:r>
          </w:p>
        </w:tc>
        <w:tc>
          <w:tcPr>
            <w:tcW w:w="2730" w:type="dxa"/>
            <w:vMerge/>
            <w:vAlign w:val="center"/>
          </w:tcPr>
          <w:p w14:paraId="59C24D28"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3D0A5E50"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31706B15" w14:textId="77777777">
        <w:trPr>
          <w:cantSplit/>
          <w:trHeight w:val="278"/>
          <w:jc w:val="center"/>
        </w:trPr>
        <w:tc>
          <w:tcPr>
            <w:tcW w:w="855" w:type="dxa"/>
            <w:vAlign w:val="center"/>
          </w:tcPr>
          <w:p w14:paraId="73331069"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9</w:t>
            </w:r>
          </w:p>
        </w:tc>
        <w:tc>
          <w:tcPr>
            <w:tcW w:w="2017" w:type="dxa"/>
            <w:vAlign w:val="center"/>
          </w:tcPr>
          <w:p w14:paraId="72C652C1"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球镜度</w:t>
            </w:r>
          </w:p>
        </w:tc>
        <w:tc>
          <w:tcPr>
            <w:tcW w:w="2730" w:type="dxa"/>
            <w:vMerge/>
            <w:vAlign w:val="center"/>
          </w:tcPr>
          <w:p w14:paraId="4C8355ED"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0229E267"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16ABF9D2" w14:textId="77777777">
        <w:trPr>
          <w:cantSplit/>
          <w:trHeight w:val="278"/>
          <w:jc w:val="center"/>
        </w:trPr>
        <w:tc>
          <w:tcPr>
            <w:tcW w:w="855" w:type="dxa"/>
            <w:vAlign w:val="center"/>
          </w:tcPr>
          <w:p w14:paraId="474F0800"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10</w:t>
            </w:r>
          </w:p>
        </w:tc>
        <w:tc>
          <w:tcPr>
            <w:tcW w:w="2017" w:type="dxa"/>
            <w:vAlign w:val="center"/>
          </w:tcPr>
          <w:p w14:paraId="0F95112F"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散光度</w:t>
            </w:r>
          </w:p>
        </w:tc>
        <w:tc>
          <w:tcPr>
            <w:tcW w:w="2730" w:type="dxa"/>
            <w:vMerge/>
            <w:vAlign w:val="center"/>
          </w:tcPr>
          <w:p w14:paraId="1A0BB6B6"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343B1D00"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3066AE2A" w14:textId="77777777">
        <w:trPr>
          <w:cantSplit/>
          <w:trHeight w:val="278"/>
          <w:jc w:val="center"/>
        </w:trPr>
        <w:tc>
          <w:tcPr>
            <w:tcW w:w="855" w:type="dxa"/>
            <w:vAlign w:val="center"/>
          </w:tcPr>
          <w:p w14:paraId="427B0D63"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11</w:t>
            </w:r>
          </w:p>
        </w:tc>
        <w:tc>
          <w:tcPr>
            <w:tcW w:w="2017" w:type="dxa"/>
            <w:vAlign w:val="center"/>
          </w:tcPr>
          <w:p w14:paraId="02902CE9"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棱镜度</w:t>
            </w:r>
          </w:p>
        </w:tc>
        <w:tc>
          <w:tcPr>
            <w:tcW w:w="2730" w:type="dxa"/>
            <w:vMerge/>
            <w:vAlign w:val="center"/>
          </w:tcPr>
          <w:p w14:paraId="25A64678"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1BE12CA8"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12DF28E1" w14:textId="77777777">
        <w:trPr>
          <w:cantSplit/>
          <w:trHeight w:val="278"/>
          <w:jc w:val="center"/>
        </w:trPr>
        <w:tc>
          <w:tcPr>
            <w:tcW w:w="855" w:type="dxa"/>
            <w:vAlign w:val="center"/>
          </w:tcPr>
          <w:p w14:paraId="60D59480"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12</w:t>
            </w:r>
          </w:p>
        </w:tc>
        <w:tc>
          <w:tcPr>
            <w:tcW w:w="2017" w:type="dxa"/>
            <w:vAlign w:val="center"/>
          </w:tcPr>
          <w:p w14:paraId="5F9A8038"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相对衰减</w:t>
            </w:r>
          </w:p>
          <w:p w14:paraId="3C81AB47"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视觉因子</w:t>
            </w:r>
          </w:p>
        </w:tc>
        <w:tc>
          <w:tcPr>
            <w:tcW w:w="2730" w:type="dxa"/>
            <w:vMerge/>
            <w:vAlign w:val="center"/>
          </w:tcPr>
          <w:p w14:paraId="3C062D0C"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41702428"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030D7C85" w14:textId="77777777">
        <w:trPr>
          <w:cantSplit/>
          <w:trHeight w:val="379"/>
          <w:jc w:val="center"/>
        </w:trPr>
        <w:tc>
          <w:tcPr>
            <w:tcW w:w="855" w:type="dxa"/>
            <w:vAlign w:val="center"/>
          </w:tcPr>
          <w:p w14:paraId="7B3BFDCB"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13</w:t>
            </w:r>
          </w:p>
        </w:tc>
        <w:tc>
          <w:tcPr>
            <w:tcW w:w="2017" w:type="dxa"/>
            <w:vAlign w:val="center"/>
          </w:tcPr>
          <w:p w14:paraId="3BC889DE"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太阳镜镜片</w:t>
            </w:r>
          </w:p>
          <w:p w14:paraId="0E1ACEF6"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尺寸</w:t>
            </w:r>
          </w:p>
        </w:tc>
        <w:tc>
          <w:tcPr>
            <w:tcW w:w="2730" w:type="dxa"/>
            <w:vMerge/>
            <w:vAlign w:val="center"/>
          </w:tcPr>
          <w:p w14:paraId="1AF9B27A"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307E270F" w14:textId="77777777" w:rsidR="00C84B36" w:rsidRDefault="00C84B36">
            <w:pPr>
              <w:snapToGrid w:val="0"/>
              <w:spacing w:line="600" w:lineRule="exact"/>
              <w:jc w:val="center"/>
              <w:rPr>
                <w:rFonts w:ascii="方正仿宋_GBK" w:eastAsia="方正仿宋_GBK" w:hAnsi="方正仿宋_GBK" w:cs="方正仿宋_GBK"/>
                <w:sz w:val="32"/>
                <w:szCs w:val="32"/>
              </w:rPr>
            </w:pPr>
          </w:p>
        </w:tc>
      </w:tr>
      <w:tr w:rsidR="00C84B36" w14:paraId="3BC4B6BE" w14:textId="77777777">
        <w:trPr>
          <w:cantSplit/>
          <w:trHeight w:val="70"/>
          <w:jc w:val="center"/>
        </w:trPr>
        <w:tc>
          <w:tcPr>
            <w:tcW w:w="855" w:type="dxa"/>
            <w:vAlign w:val="center"/>
          </w:tcPr>
          <w:p w14:paraId="7D4082EE"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14</w:t>
            </w:r>
          </w:p>
        </w:tc>
        <w:tc>
          <w:tcPr>
            <w:tcW w:w="2017" w:type="dxa"/>
            <w:vAlign w:val="center"/>
          </w:tcPr>
          <w:p w14:paraId="21930354" w14:textId="77777777" w:rsidR="00C84B36" w:rsidRDefault="00D65AD8">
            <w:pPr>
              <w:snapToGrid w:val="0"/>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标志</w:t>
            </w:r>
          </w:p>
        </w:tc>
        <w:tc>
          <w:tcPr>
            <w:tcW w:w="2730" w:type="dxa"/>
            <w:vMerge/>
            <w:vAlign w:val="center"/>
          </w:tcPr>
          <w:p w14:paraId="56ABCB59" w14:textId="77777777" w:rsidR="00C84B36" w:rsidRDefault="00C84B36">
            <w:pPr>
              <w:snapToGrid w:val="0"/>
              <w:spacing w:line="600" w:lineRule="exact"/>
              <w:jc w:val="center"/>
              <w:rPr>
                <w:rFonts w:ascii="方正仿宋_GBK" w:eastAsia="方正仿宋_GBK" w:hAnsi="方正仿宋_GBK" w:cs="方正仿宋_GBK"/>
                <w:sz w:val="32"/>
                <w:szCs w:val="32"/>
              </w:rPr>
            </w:pPr>
          </w:p>
        </w:tc>
        <w:tc>
          <w:tcPr>
            <w:tcW w:w="3239" w:type="dxa"/>
            <w:vMerge/>
            <w:vAlign w:val="center"/>
          </w:tcPr>
          <w:p w14:paraId="2E297E7A" w14:textId="77777777" w:rsidR="00C84B36" w:rsidRDefault="00C84B36">
            <w:pPr>
              <w:snapToGrid w:val="0"/>
              <w:spacing w:line="600" w:lineRule="exact"/>
              <w:jc w:val="center"/>
              <w:rPr>
                <w:rFonts w:ascii="方正仿宋_GBK" w:eastAsia="方正仿宋_GBK" w:hAnsi="方正仿宋_GBK" w:cs="方正仿宋_GBK"/>
                <w:sz w:val="32"/>
                <w:szCs w:val="32"/>
              </w:rPr>
            </w:pPr>
          </w:p>
        </w:tc>
      </w:tr>
    </w:tbl>
    <w:p w14:paraId="37B720E0"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检验依据包括国家法律法规，国家和省有关规定。监督抽查产品相应的国家标准、行业标准、地方标准、团体标准、</w:t>
      </w:r>
      <w:r>
        <w:rPr>
          <w:rFonts w:ascii="方正仿宋_GBK" w:eastAsia="方正仿宋_GBK" w:hAnsi="方正仿宋_GBK" w:cs="方正仿宋_GBK" w:hint="eastAsia"/>
          <w:sz w:val="32"/>
          <w:szCs w:val="32"/>
        </w:rPr>
        <w:lastRenderedPageBreak/>
        <w:t>企业标准以及企业明示的其它执行标准、技术文件和产品质量承诺。凡是注日期的文件，其随后所有的修改单（不包括勘误的内容）或修订版不适用于本方案。凡是不注日期的文件，其最新版本适用于本方案。</w:t>
      </w:r>
    </w:p>
    <w:p w14:paraId="737F17E9" w14:textId="77777777" w:rsidR="00C84B36" w:rsidRDefault="00D65AD8">
      <w:pPr>
        <w:spacing w:line="600" w:lineRule="exact"/>
        <w:ind w:firstLineChars="200" w:firstLine="640"/>
        <w:rPr>
          <w:rFonts w:ascii="方正黑体_GBK" w:eastAsia="方正黑体_GBK" w:hAnsi="方正黑体_GBK" w:cs="方正仿宋_GBK"/>
          <w:sz w:val="32"/>
          <w:szCs w:val="32"/>
        </w:rPr>
      </w:pPr>
      <w:r>
        <w:rPr>
          <w:rFonts w:ascii="方正黑体_GBK" w:eastAsia="方正黑体_GBK" w:hAnsi="方正黑体_GBK" w:cs="方正仿宋_GBK" w:hint="eastAsia"/>
          <w:sz w:val="32"/>
          <w:szCs w:val="32"/>
        </w:rPr>
        <w:t>4.</w:t>
      </w:r>
      <w:r>
        <w:rPr>
          <w:rFonts w:ascii="方正黑体_GBK" w:eastAsia="方正黑体_GBK" w:hAnsi="方正黑体_GBK" w:cs="方正仿宋_GBK" w:hint="eastAsia"/>
          <w:sz w:val="32"/>
          <w:szCs w:val="32"/>
        </w:rPr>
        <w:t>判定规则</w:t>
      </w:r>
    </w:p>
    <w:p w14:paraId="23448E9B" w14:textId="77777777" w:rsidR="00C84B36" w:rsidRDefault="00D65AD8">
      <w:pPr>
        <w:spacing w:line="60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    4.1</w:t>
      </w:r>
      <w:r>
        <w:rPr>
          <w:rFonts w:ascii="方正仿宋_GBK" w:eastAsia="方正仿宋_GBK" w:hAnsi="方正仿宋_GBK" w:cs="方正仿宋_GBK" w:hint="eastAsia"/>
          <w:sz w:val="32"/>
          <w:szCs w:val="32"/>
        </w:rPr>
        <w:t>依据标准</w:t>
      </w:r>
    </w:p>
    <w:p w14:paraId="7F253A21"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GB </w:t>
      </w:r>
      <w:r>
        <w:rPr>
          <w:rFonts w:ascii="方正仿宋_GBK" w:eastAsia="方正仿宋_GBK" w:hAnsi="方正仿宋_GBK" w:cs="方正仿宋_GBK" w:hint="eastAsia"/>
          <w:sz w:val="32"/>
          <w:szCs w:val="32"/>
        </w:rPr>
        <w:t>39552.1-2020</w:t>
      </w:r>
      <w:r>
        <w:rPr>
          <w:rFonts w:ascii="方正仿宋_GBK" w:eastAsia="方正仿宋_GBK" w:hAnsi="方正仿宋_GBK" w:cs="方正仿宋_GBK" w:hint="eastAsia"/>
          <w:sz w:val="32"/>
          <w:szCs w:val="32"/>
        </w:rPr>
        <w:t>《太阳镜和太阳镜片第</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部分</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通用要求》</w:t>
      </w:r>
    </w:p>
    <w:p w14:paraId="0FDC2210"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现行有效的企业标准、团体标准、地方标准及产品明示质量要求</w:t>
      </w:r>
    </w:p>
    <w:p w14:paraId="7AACBE79"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4.2</w:t>
      </w:r>
      <w:r>
        <w:rPr>
          <w:rFonts w:ascii="方正仿宋_GBK" w:eastAsia="方正仿宋_GBK" w:hAnsi="方正仿宋_GBK" w:cs="方正仿宋_GBK" w:hint="eastAsia"/>
          <w:sz w:val="32"/>
          <w:szCs w:val="32"/>
        </w:rPr>
        <w:t>判定原则</w:t>
      </w:r>
    </w:p>
    <w:p w14:paraId="5598C018"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抽查太阳镜产品经检验，检验项目全部合格，判定为被抽查产品未发现不合格；检验项目中任一项或一项以上不合格，判定为被抽查产品不合格。</w:t>
      </w:r>
    </w:p>
    <w:p w14:paraId="27751A9D"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14:paraId="777F3212"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14:paraId="77B77B78"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w:t>
      </w:r>
      <w:r>
        <w:rPr>
          <w:rFonts w:ascii="方正仿宋_GBK" w:eastAsia="方正仿宋_GBK" w:hAnsi="方正仿宋_GBK" w:cs="方正仿宋_GBK" w:hint="eastAsia"/>
          <w:sz w:val="32"/>
          <w:szCs w:val="32"/>
        </w:rPr>
        <w:t>的推荐性标准要求时，应以被检产品明示的质量要求判定，但应在检验报告备注中进行说明。</w:t>
      </w:r>
    </w:p>
    <w:p w14:paraId="1F39DFE2"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14:paraId="256BC634" w14:textId="77777777" w:rsidR="00C84B36" w:rsidRDefault="00D65AD8">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w:t>
      </w:r>
      <w:r>
        <w:rPr>
          <w:rFonts w:ascii="方正仿宋_GBK" w:eastAsia="方正仿宋_GBK" w:hAnsi="方正仿宋_GBK" w:cs="方正仿宋_GBK" w:hint="eastAsia"/>
          <w:sz w:val="32"/>
          <w:szCs w:val="32"/>
        </w:rPr>
        <w:lastRenderedPageBreak/>
        <w:t>据的推荐性标准要求时，该项目不参与判定，但应在检验报告备注中进行说明。</w:t>
      </w:r>
    </w:p>
    <w:p w14:paraId="0F34C303" w14:textId="77777777" w:rsidR="00C84B36" w:rsidRDefault="00D65AD8">
      <w:pPr>
        <w:spacing w:line="600" w:lineRule="exact"/>
        <w:ind w:firstLineChars="200" w:firstLine="640"/>
        <w:rPr>
          <w:rFonts w:ascii="方正黑体_GBK" w:eastAsia="方正黑体_GBK" w:hAnsi="方正黑体_GBK" w:cs="方正仿宋_GBK"/>
          <w:sz w:val="32"/>
          <w:szCs w:val="32"/>
        </w:rPr>
      </w:pPr>
      <w:r>
        <w:rPr>
          <w:rFonts w:ascii="方正黑体_GBK" w:eastAsia="方正黑体_GBK" w:hAnsi="方正黑体_GBK" w:cs="方正仿宋_GBK" w:hint="eastAsia"/>
          <w:sz w:val="32"/>
          <w:szCs w:val="32"/>
        </w:rPr>
        <w:t>5.</w:t>
      </w:r>
      <w:r>
        <w:rPr>
          <w:rFonts w:ascii="方正黑体_GBK" w:eastAsia="方正黑体_GBK" w:hAnsi="方正黑体_GBK" w:cs="方正仿宋_GBK" w:hint="eastAsia"/>
          <w:sz w:val="32"/>
          <w:szCs w:val="32"/>
        </w:rPr>
        <w:t>异议处理</w:t>
      </w:r>
    </w:p>
    <w:p w14:paraId="7F1905C4" w14:textId="77777777" w:rsidR="00C84B36" w:rsidRDefault="00D65AD8">
      <w:pPr>
        <w:tabs>
          <w:tab w:val="left" w:pos="5310"/>
        </w:tabs>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5.1</w:t>
      </w:r>
      <w:r>
        <w:rPr>
          <w:rFonts w:ascii="方正仿宋_GBK" w:eastAsia="方正仿宋_GBK" w:hAnsi="方正仿宋_GBK" w:cs="方正仿宋_GBK" w:hint="eastAsia"/>
          <w:sz w:val="32"/>
          <w:szCs w:val="32"/>
        </w:rPr>
        <w:t>对监督抽查程序有异议的，由任务下达部门核查相关证据后维持或者撤销原检验结果。</w:t>
      </w:r>
    </w:p>
    <w:p w14:paraId="4CD6EB38" w14:textId="77777777" w:rsidR="00C84B36" w:rsidRDefault="00D65AD8">
      <w:pPr>
        <w:tabs>
          <w:tab w:val="left" w:pos="5310"/>
        </w:tabs>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5.2</w:t>
      </w:r>
      <w:r>
        <w:rPr>
          <w:rFonts w:ascii="方正仿宋_GBK" w:eastAsia="方正仿宋_GBK" w:hAnsi="方正仿宋_GBK" w:cs="方正仿宋_GBK" w:hint="eastAsia"/>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5AFE840" w14:textId="77777777" w:rsidR="00C84B36" w:rsidRDefault="00D65AD8">
      <w:pPr>
        <w:tabs>
          <w:tab w:val="left" w:pos="5310"/>
        </w:tabs>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5.3</w:t>
      </w:r>
      <w:r>
        <w:rPr>
          <w:rFonts w:ascii="方正仿宋_GBK" w:eastAsia="方正仿宋_GBK" w:hAnsi="方正仿宋_GBK" w:cs="方正仿宋_GBK" w:hint="eastAsia"/>
          <w:sz w:val="32"/>
          <w:szCs w:val="32"/>
        </w:rPr>
        <w:t>对样品信息有异议的，任务下达部门核查样品确认情况和生产企业提交证明材料后，维持或者撤销原检验结果。</w:t>
      </w:r>
    </w:p>
    <w:p w14:paraId="251E8EC4" w14:textId="77777777" w:rsidR="00C84B36" w:rsidRDefault="00D65AD8">
      <w:pPr>
        <w:tabs>
          <w:tab w:val="left" w:pos="5310"/>
        </w:tabs>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5.4</w:t>
      </w:r>
      <w:r>
        <w:rPr>
          <w:rFonts w:ascii="方正仿宋_GBK" w:eastAsia="方正仿宋_GBK" w:hAnsi="方正仿宋_GBK" w:cs="方正仿宋_GBK" w:hint="eastAsia"/>
          <w:sz w:val="32"/>
          <w:szCs w:val="32"/>
        </w:rPr>
        <w:t>本次太阳镜产品质量监督抽查无不予复检的情况。</w:t>
      </w:r>
    </w:p>
    <w:p w14:paraId="556E5B9F" w14:textId="77777777" w:rsidR="00C84B36" w:rsidRDefault="00C84B36">
      <w:pPr>
        <w:tabs>
          <w:tab w:val="left" w:pos="5310"/>
        </w:tabs>
        <w:spacing w:line="600" w:lineRule="exact"/>
        <w:ind w:firstLineChars="200" w:firstLine="640"/>
        <w:rPr>
          <w:rFonts w:ascii="方正仿宋_GBK" w:eastAsia="方正仿宋_GBK" w:hAnsi="方正仿宋_GBK" w:cs="方正仿宋_GBK"/>
          <w:sz w:val="32"/>
          <w:szCs w:val="32"/>
        </w:rPr>
      </w:pPr>
    </w:p>
    <w:p w14:paraId="36DBBE79" w14:textId="77777777" w:rsidR="00C84B36" w:rsidRDefault="00D65AD8">
      <w:pPr>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 xml:space="preserve">    </w:t>
      </w:r>
      <w:r>
        <w:rPr>
          <w:rFonts w:ascii="Times New Roman" w:eastAsia="黑体" w:hAnsi="Times New Roman" w:cs="Times New Roman" w:hint="eastAsia"/>
          <w:bCs/>
          <w:sz w:val="32"/>
          <w:szCs w:val="32"/>
        </w:rPr>
        <w:t xml:space="preserve">                 </w:t>
      </w:r>
    </w:p>
    <w:sectPr w:rsidR="00C84B3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E11C4" w14:textId="77777777" w:rsidR="00000000" w:rsidRDefault="00D65AD8">
      <w:r>
        <w:separator/>
      </w:r>
    </w:p>
  </w:endnote>
  <w:endnote w:type="continuationSeparator" w:id="0">
    <w:p w14:paraId="70AD2FAC" w14:textId="77777777" w:rsidR="00000000" w:rsidRDefault="00D6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Microsoft YaHei UI"/>
    <w:charset w:val="86"/>
    <w:family w:val="auto"/>
    <w:pitch w:val="default"/>
    <w:sig w:usb0="00000000" w:usb1="080E0000" w:usb2="00000000" w:usb3="00000000" w:csb0="00040000" w:csb1="00000000"/>
  </w:font>
  <w:font w:name="方正黑体_GBK">
    <w:altName w:val="微软雅黑"/>
    <w:charset w:val="86"/>
    <w:family w:val="auto"/>
    <w:pitch w:val="default"/>
    <w:sig w:usb0="00000000" w:usb1="00000000" w:usb2="00082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7719"/>
    </w:sdtPr>
    <w:sdtEndPr/>
    <w:sdtContent>
      <w:p w14:paraId="108EB86A" w14:textId="4AE29BAF" w:rsidR="00C84B36" w:rsidRDefault="00D65AD8">
        <w:pPr>
          <w:pStyle w:val="a5"/>
          <w:jc w:val="cente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sidRPr="00D65AD8">
          <w:rPr>
            <w:rFonts w:asciiTheme="minorEastAsia" w:hAnsiTheme="minorEastAsia"/>
            <w:noProof/>
            <w:lang w:val="zh-CN"/>
          </w:rPr>
          <w:t>4</w:t>
        </w:r>
        <w:r>
          <w:rPr>
            <w:rFonts w:asciiTheme="minorEastAsia" w:hAnsiTheme="minorEastAsia"/>
          </w:rPr>
          <w:fldChar w:fldCharType="end"/>
        </w:r>
      </w:p>
    </w:sdtContent>
  </w:sdt>
  <w:p w14:paraId="30A579E2" w14:textId="77777777" w:rsidR="00C84B36" w:rsidRDefault="00C84B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9FD41" w14:textId="77777777" w:rsidR="00000000" w:rsidRDefault="00D65AD8">
      <w:r>
        <w:separator/>
      </w:r>
    </w:p>
  </w:footnote>
  <w:footnote w:type="continuationSeparator" w:id="0">
    <w:p w14:paraId="773FE464" w14:textId="77777777" w:rsidR="00000000" w:rsidRDefault="00D65A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MDE2YjQ0MTdhYjcwMGRmZWViZTdhMmFhYzgwMTMifQ=="/>
  </w:docVars>
  <w:rsids>
    <w:rsidRoot w:val="00397D58"/>
    <w:rsid w:val="000B72D3"/>
    <w:rsid w:val="000F755D"/>
    <w:rsid w:val="000F796E"/>
    <w:rsid w:val="00107BEE"/>
    <w:rsid w:val="00132F75"/>
    <w:rsid w:val="00153A21"/>
    <w:rsid w:val="0018531A"/>
    <w:rsid w:val="001B3F3C"/>
    <w:rsid w:val="001C61FA"/>
    <w:rsid w:val="001F7691"/>
    <w:rsid w:val="001F76E5"/>
    <w:rsid w:val="00221477"/>
    <w:rsid w:val="00235E4B"/>
    <w:rsid w:val="002D6CD2"/>
    <w:rsid w:val="002D7B89"/>
    <w:rsid w:val="002E3BEB"/>
    <w:rsid w:val="0035540C"/>
    <w:rsid w:val="00385BEF"/>
    <w:rsid w:val="00397D58"/>
    <w:rsid w:val="003B4B99"/>
    <w:rsid w:val="003D3CCC"/>
    <w:rsid w:val="003E70E5"/>
    <w:rsid w:val="004205B3"/>
    <w:rsid w:val="004407CD"/>
    <w:rsid w:val="00464C90"/>
    <w:rsid w:val="00465E9A"/>
    <w:rsid w:val="0047618D"/>
    <w:rsid w:val="00504166"/>
    <w:rsid w:val="00564BEA"/>
    <w:rsid w:val="00574618"/>
    <w:rsid w:val="005773BF"/>
    <w:rsid w:val="005C5779"/>
    <w:rsid w:val="00600CE5"/>
    <w:rsid w:val="00614EE6"/>
    <w:rsid w:val="00642503"/>
    <w:rsid w:val="00656252"/>
    <w:rsid w:val="00671F41"/>
    <w:rsid w:val="006C1489"/>
    <w:rsid w:val="006F52AA"/>
    <w:rsid w:val="0070671F"/>
    <w:rsid w:val="00792DE3"/>
    <w:rsid w:val="007C3B20"/>
    <w:rsid w:val="008C7460"/>
    <w:rsid w:val="009161CD"/>
    <w:rsid w:val="00971885"/>
    <w:rsid w:val="009810FC"/>
    <w:rsid w:val="009D1862"/>
    <w:rsid w:val="00A06245"/>
    <w:rsid w:val="00A5099E"/>
    <w:rsid w:val="00A57D6A"/>
    <w:rsid w:val="00A97B2F"/>
    <w:rsid w:val="00AF5C1F"/>
    <w:rsid w:val="00B009A0"/>
    <w:rsid w:val="00B8779E"/>
    <w:rsid w:val="00BF5D9B"/>
    <w:rsid w:val="00C11223"/>
    <w:rsid w:val="00C23E07"/>
    <w:rsid w:val="00C37553"/>
    <w:rsid w:val="00C41504"/>
    <w:rsid w:val="00C625CD"/>
    <w:rsid w:val="00C705FE"/>
    <w:rsid w:val="00C84B36"/>
    <w:rsid w:val="00C93DD2"/>
    <w:rsid w:val="00CA6A17"/>
    <w:rsid w:val="00CD1C95"/>
    <w:rsid w:val="00D25DB9"/>
    <w:rsid w:val="00D35B68"/>
    <w:rsid w:val="00D5614D"/>
    <w:rsid w:val="00D63EC3"/>
    <w:rsid w:val="00D65AD8"/>
    <w:rsid w:val="00D86139"/>
    <w:rsid w:val="00DA599F"/>
    <w:rsid w:val="00DB572F"/>
    <w:rsid w:val="00DE3A7E"/>
    <w:rsid w:val="00E7773A"/>
    <w:rsid w:val="00E9762F"/>
    <w:rsid w:val="00EA022E"/>
    <w:rsid w:val="00EB0FCA"/>
    <w:rsid w:val="00EC4A1B"/>
    <w:rsid w:val="00EC70F4"/>
    <w:rsid w:val="00EF5892"/>
    <w:rsid w:val="00F24C54"/>
    <w:rsid w:val="00F26BD3"/>
    <w:rsid w:val="00F274AD"/>
    <w:rsid w:val="00F47527"/>
    <w:rsid w:val="00FA4DC2"/>
    <w:rsid w:val="00FB3FC3"/>
    <w:rsid w:val="043568A1"/>
    <w:rsid w:val="07CC7B57"/>
    <w:rsid w:val="31110CC5"/>
    <w:rsid w:val="344830A0"/>
    <w:rsid w:val="3A617B60"/>
    <w:rsid w:val="3B9B4052"/>
    <w:rsid w:val="48801975"/>
    <w:rsid w:val="4BEE11F5"/>
    <w:rsid w:val="4D4F3B65"/>
    <w:rsid w:val="526D4CC3"/>
    <w:rsid w:val="5F5316C3"/>
    <w:rsid w:val="63C528D2"/>
    <w:rsid w:val="66B477F6"/>
    <w:rsid w:val="698260EF"/>
    <w:rsid w:val="741D0C07"/>
    <w:rsid w:val="75834639"/>
    <w:rsid w:val="76BE61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FECBE5-A7C7-44E7-9FB7-60B86DC2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4">
    <w:name w:val="日期 字符"/>
    <w:basedOn w:val="a0"/>
    <w:link w:val="a3"/>
    <w:uiPriority w:val="99"/>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p0">
    <w:name w:val="p0"/>
    <w:basedOn w:val="a"/>
    <w:uiPriority w:val="99"/>
    <w:qFormat/>
    <w:pPr>
      <w:widowControl/>
      <w:autoSpaceDE w:val="0"/>
      <w:autoSpaceDN w:val="0"/>
      <w:jc w:val="left"/>
    </w:pPr>
    <w:rPr>
      <w:rFonts w:ascii="Times New Roman" w:eastAsia="宋体" w:hAnsi="Times New Roman" w:cs="Times New Roman"/>
      <w:kern w:val="0"/>
      <w:sz w:val="20"/>
      <w:szCs w:val="20"/>
    </w:rPr>
  </w:style>
  <w:style w:type="paragraph" w:styleId="a9">
    <w:name w:val="List Paragraph"/>
    <w:basedOn w:val="a"/>
    <w:uiPriority w:val="99"/>
    <w:unhideWhenUsed/>
    <w:qFormat/>
    <w:pPr>
      <w:ind w:firstLineChars="200" w:firstLine="420"/>
    </w:pPr>
  </w:style>
  <w:style w:type="paragraph" w:styleId="aa">
    <w:name w:val="Balloon Text"/>
    <w:basedOn w:val="a"/>
    <w:link w:val="ab"/>
    <w:uiPriority w:val="99"/>
    <w:semiHidden/>
    <w:unhideWhenUsed/>
    <w:rsid w:val="00A97B2F"/>
    <w:rPr>
      <w:sz w:val="18"/>
      <w:szCs w:val="18"/>
    </w:rPr>
  </w:style>
  <w:style w:type="character" w:customStyle="1" w:styleId="ab">
    <w:name w:val="批注框文本 字符"/>
    <w:basedOn w:val="a0"/>
    <w:link w:val="aa"/>
    <w:uiPriority w:val="99"/>
    <w:semiHidden/>
    <w:rsid w:val="00A97B2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42DB9-A6F6-4304-B84F-40203A73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226</Words>
  <Characters>1291</Characters>
  <Application>Microsoft Office Word</Application>
  <DocSecurity>0</DocSecurity>
  <Lines>10</Lines>
  <Paragraphs>3</Paragraphs>
  <ScaleCrop>false</ScaleCrop>
  <Company>Microsoft</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GTTC</cp:lastModifiedBy>
  <cp:revision>57</cp:revision>
  <cp:lastPrinted>2022-02-14T08:43:00Z</cp:lastPrinted>
  <dcterms:created xsi:type="dcterms:W3CDTF">2020-11-09T06:31:00Z</dcterms:created>
  <dcterms:modified xsi:type="dcterms:W3CDTF">2025-04-29T02:11:00Z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951E772C91774B529886231852ECC976_13</vt:lpwstr>
  </property>
  <property fmtid="{D5CDD505-2E9C-101B-9397-08002B2CF9AE}" pid="4" name="KSOSaveFontToCloudKey">
    <vt:lpwstr>727276832_btnclosed</vt:lpwstr>
  </property>
  <property fmtid="{D5CDD505-2E9C-101B-9397-08002B2CF9AE}" pid="5" name="KSOTemplateDocerSaveRecord">
    <vt:lpwstr>eyJoZGlkIjoiMDQzYTliNjRkMTAyMDAyYzExMjk4MDI5MGRiN2JkNDciLCJ1c2VySWQiOiIxOTY5NTc3MTkifQ==</vt:lpwstr>
  </property>
</Properties>
</file>