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77A07182">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电热水壶</w:t>
      </w:r>
    </w:p>
    <w:p w14:paraId="56B72712">
      <w:pPr>
        <w:pStyle w:val="5"/>
        <w:rPr>
          <w:rFonts w:hint="eastAsia"/>
        </w:rPr>
      </w:pPr>
    </w:p>
    <w:p w14:paraId="167D1A6E">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162554C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电热水壶</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AD985F3">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200D0B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4ADFA48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电热水壶产</w:t>
      </w:r>
      <w:r>
        <w:rPr>
          <w:rFonts w:hint="eastAsia" w:ascii="方正仿宋_GBK" w:hAnsi="方正仿宋_GBK" w:eastAsia="方正仿宋_GBK" w:cs="方正仿宋_GBK"/>
          <w:sz w:val="32"/>
          <w:szCs w:val="32"/>
          <w:lang w:val="en-US" w:eastAsia="zh-Hans"/>
        </w:rPr>
        <w:t>品</w:t>
      </w:r>
      <w:r>
        <w:rPr>
          <w:rFonts w:hint="eastAsia" w:ascii="方正仿宋_GBK" w:hAnsi="方正仿宋_GBK" w:eastAsia="方正仿宋_GBK" w:cs="方正仿宋_GBK"/>
          <w:sz w:val="32"/>
          <w:szCs w:val="32"/>
        </w:rPr>
        <w:t>抽样数量为2台（套），其中1台（套）作为检验样品，1台（套）作为备用样品，抽样基数满足抽样数量即可。</w:t>
      </w:r>
    </w:p>
    <w:p w14:paraId="62221B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6DC5718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color="auto" w:fill="FFFFFF"/>
          <w:lang w:bidi="ar"/>
        </w:rPr>
        <w:t>3</w:t>
      </w:r>
      <w:r>
        <w:rPr>
          <w:rFonts w:hint="eastAsia" w:ascii="方正黑体_GBK" w:hAnsi="方正仿宋_GBK" w:eastAsia="方正黑体_GBK" w:cs="方正仿宋_GBK"/>
          <w:kern w:val="0"/>
          <w:sz w:val="32"/>
          <w:szCs w:val="32"/>
          <w:highlight w:val="none"/>
          <w:shd w:val="clear" w:color="auto" w:fill="FFFFFF"/>
          <w:lang w:val="en-US" w:eastAsia="zh-Hans" w:bidi="ar"/>
        </w:rPr>
        <w:t>.</w:t>
      </w:r>
      <w:r>
        <w:rPr>
          <w:rFonts w:hint="eastAsia" w:ascii="方正黑体_GBK" w:hAnsi="方正仿宋_GBK" w:eastAsia="方正黑体_GBK" w:cs="方正仿宋_GBK"/>
          <w:kern w:val="0"/>
          <w:sz w:val="32"/>
          <w:szCs w:val="32"/>
          <w:highlight w:val="none"/>
          <w:shd w:val="clear" w:color="auto" w:fill="FFFFFF"/>
          <w:lang w:bidi="ar"/>
        </w:rPr>
        <w:t>检验依据</w:t>
      </w:r>
    </w:p>
    <w:p w14:paraId="66C3DCF8">
      <w:pPr>
        <w:pStyle w:val="5"/>
        <w:jc w:val="center"/>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表1  检验项目</w:t>
      </w:r>
    </w:p>
    <w:tbl>
      <w:tblPr>
        <w:tblStyle w:val="10"/>
        <w:tblW w:w="502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24"/>
        <w:gridCol w:w="2564"/>
        <w:gridCol w:w="2681"/>
        <w:gridCol w:w="2384"/>
      </w:tblGrid>
      <w:tr w14:paraId="6A0BA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6EF91B4F">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序号</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252F93D6">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检验项目</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4F65E48D">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检验依据</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0A4348E2">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检验检测方法</w:t>
            </w:r>
          </w:p>
        </w:tc>
      </w:tr>
      <w:tr w14:paraId="53CE0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5726275B">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78B38DE1">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对触及带电部件的防护</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52BBF9B9">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04BF82F2">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6710B655">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01BB0B07">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6E993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2F9950EE">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2</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472C1E67">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输入功率和电流</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382AB61D">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3E43617E">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43C002B9">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1D1350EC">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3F9F3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5220F88C">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3</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04CC498F">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工作温度下的泄漏电流和电气强度</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4043B60C">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2868585E">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182FE8E4">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3225A220">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63D05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0FFBB4BA">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4</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2679C180">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耐潮湿</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4B9A9E3B">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7C283F49">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2C8245C0">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14CEE89D">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58414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4205BC9A">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5</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4DAD77C6">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泄漏电流和电气强度</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78C52D62">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3B1EE1F0">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77DD1849">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4672A79F">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50C7B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6517CAE6">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6</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1D9A5435">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机械强度</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39C91470">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0651D043">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56F9DE21">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45878D28">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1C228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05B0AF18">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7</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575217E8">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结构（不包括第22.46条试验和22.103条试验）</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17C408C1">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410A207C">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5BC4B170">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35E56A39">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5B520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42456E87">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8</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3A306581">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内部布线</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2DB69ACB">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1FCD0282">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0C0D992F">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77D7C3C6">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5DFD4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3AA3AFC8">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9</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3A381A7B">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电源连接和外部软线</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6DF39FE5">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40930976">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5E122555">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4C1BE06F">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r>
      <w:tr w14:paraId="68EEF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264177B6">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10</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2177C309">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外部导线用接线端子</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2154584D">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4706.1-2005</w:t>
            </w:r>
          </w:p>
          <w:p w14:paraId="2DE9E44D">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2DA24E6A">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4706.1-2005</w:t>
            </w:r>
          </w:p>
          <w:p w14:paraId="1B0B538B">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4706.19-2008</w:t>
            </w:r>
          </w:p>
        </w:tc>
      </w:tr>
      <w:tr w14:paraId="394C9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731FFE15">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11</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74A229A6">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接地措施</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01B59A89">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4706.1-2005</w:t>
            </w:r>
          </w:p>
          <w:p w14:paraId="5E030210">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222DA4F3">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4706.1-2005</w:t>
            </w:r>
          </w:p>
          <w:p w14:paraId="2379780B">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4706.19-2008</w:t>
            </w:r>
          </w:p>
        </w:tc>
      </w:tr>
      <w:tr w14:paraId="1F2B5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4254BD39">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12</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3E98976F">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螺钉和连接</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25161CC7">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4706.1-2005</w:t>
            </w:r>
          </w:p>
          <w:p w14:paraId="0143AA48">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118E3414">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4706.1-2005</w:t>
            </w:r>
          </w:p>
          <w:p w14:paraId="504E9E7B">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4706.19-2008</w:t>
            </w:r>
          </w:p>
        </w:tc>
      </w:tr>
      <w:tr w14:paraId="05977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6BC84C86">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13</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24CD3589">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电气间隙、爬电距离和固体绝缘</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0308BAAB">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4706.1-2005</w:t>
            </w:r>
          </w:p>
          <w:p w14:paraId="7C67CADD">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4706.19-2008</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580E58AB">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4706.1-2005</w:t>
            </w:r>
          </w:p>
          <w:p w14:paraId="60C129B2">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2"/>
                <w:sz w:val="30"/>
                <w:szCs w:val="30"/>
                <w:lang w:val="zh-CN" w:eastAsia="zh-CN" w:bidi="ar-SA"/>
              </w:rPr>
              <w:t>GB 4706.19-2008</w:t>
            </w:r>
          </w:p>
        </w:tc>
      </w:tr>
      <w:tr w14:paraId="13490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5D40DE5B">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14</w:t>
            </w:r>
          </w:p>
        </w:tc>
        <w:tc>
          <w:tcPr>
            <w:tcW w:w="1534" w:type="pct"/>
            <w:tcBorders>
              <w:top w:val="single" w:color="000000" w:sz="4" w:space="0"/>
              <w:left w:val="single" w:color="000000" w:sz="4" w:space="0"/>
              <w:bottom w:val="single" w:color="000000" w:sz="4" w:space="0"/>
              <w:right w:val="single" w:color="000000" w:sz="4" w:space="0"/>
            </w:tcBorders>
            <w:noWrap w:val="0"/>
            <w:vAlign w:val="center"/>
          </w:tcPr>
          <w:p w14:paraId="36C4453F">
            <w:pPr>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b w:val="0"/>
                <w:bCs w:val="0"/>
                <w:color w:val="000000"/>
                <w:sz w:val="30"/>
                <w:szCs w:val="30"/>
              </w:rPr>
              <w:t>端子骚扰电压，骚扰功率，断续骚扰</w:t>
            </w:r>
          </w:p>
        </w:tc>
        <w:tc>
          <w:tcPr>
            <w:tcW w:w="1604" w:type="pct"/>
            <w:tcBorders>
              <w:top w:val="single" w:color="000000" w:sz="4" w:space="0"/>
              <w:left w:val="single" w:color="000000" w:sz="4" w:space="0"/>
              <w:bottom w:val="single" w:color="000000" w:sz="4" w:space="0"/>
              <w:right w:val="single" w:color="000000" w:sz="4" w:space="0"/>
            </w:tcBorders>
            <w:noWrap w:val="0"/>
            <w:vAlign w:val="center"/>
          </w:tcPr>
          <w:p w14:paraId="1E31604A">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c>
          <w:tcPr>
            <w:tcW w:w="1426" w:type="pct"/>
            <w:tcBorders>
              <w:top w:val="single" w:color="000000" w:sz="4" w:space="0"/>
              <w:left w:val="single" w:color="000000" w:sz="4" w:space="0"/>
              <w:bottom w:val="single" w:color="000000" w:sz="4" w:space="0"/>
              <w:right w:val="single" w:color="000000" w:sz="4" w:space="0"/>
            </w:tcBorders>
            <w:noWrap w:val="0"/>
            <w:vAlign w:val="center"/>
          </w:tcPr>
          <w:p w14:paraId="21523F8F">
            <w:pPr>
              <w:spacing w:line="240" w:lineRule="auto"/>
              <w:jc w:val="center"/>
              <w:rPr>
                <w:rFonts w:hint="eastAsia" w:ascii="方正仿宋_GBK" w:hAnsi="方正仿宋_GBK" w:eastAsia="方正仿宋_GBK" w:cs="方正仿宋_GBK"/>
                <w:kern w:val="2"/>
                <w:sz w:val="30"/>
                <w:szCs w:val="30"/>
                <w:lang w:val="zh-CN" w:eastAsia="zh-CN" w:bidi="ar-SA"/>
              </w:rPr>
            </w:pPr>
            <w:r>
              <w:rPr>
                <w:rFonts w:hint="eastAsia" w:ascii="方正仿宋_GBK" w:hAnsi="方正仿宋_GBK" w:eastAsia="方正仿宋_GBK" w:cs="方正仿宋_GBK"/>
                <w:kern w:val="0"/>
                <w:sz w:val="30"/>
                <w:szCs w:val="30"/>
                <w:shd w:val="clear" w:color="auto" w:fill="FFFFFF"/>
                <w:lang w:bidi="ar"/>
              </w:rPr>
              <w:t>GB 4343.1-2018</w:t>
            </w:r>
            <w:r>
              <w:rPr>
                <w:rFonts w:hint="eastAsia" w:ascii="方正仿宋_GBK" w:hAnsi="方正仿宋_GBK" w:eastAsia="方正仿宋_GBK" w:cs="方正仿宋_GBK"/>
                <w:kern w:val="0"/>
                <w:sz w:val="30"/>
                <w:szCs w:val="30"/>
                <w:shd w:val="clear" w:color="auto" w:fill="FFFFFF"/>
                <w:lang w:val="en-US" w:eastAsia="zh-CN" w:bidi="ar"/>
              </w:rPr>
              <w:t xml:space="preserve">  </w:t>
            </w:r>
            <w:r>
              <w:rPr>
                <w:rFonts w:hint="eastAsia" w:ascii="方正仿宋_GBK" w:hAnsi="方正仿宋_GBK" w:eastAsia="方正仿宋_GBK" w:cs="方正仿宋_GBK"/>
                <w:kern w:val="0"/>
                <w:sz w:val="30"/>
                <w:szCs w:val="30"/>
                <w:shd w:val="clear" w:color="auto" w:fill="FFFFFF"/>
                <w:lang w:bidi="ar"/>
              </w:rPr>
              <w:t>GB 4343.1-20</w:t>
            </w:r>
            <w:r>
              <w:rPr>
                <w:rFonts w:hint="eastAsia" w:ascii="方正仿宋_GBK" w:hAnsi="方正仿宋_GBK" w:eastAsia="方正仿宋_GBK" w:cs="方正仿宋_GBK"/>
                <w:kern w:val="0"/>
                <w:sz w:val="30"/>
                <w:szCs w:val="30"/>
                <w:shd w:val="clear" w:color="auto" w:fill="FFFFFF"/>
                <w:lang w:val="en-US" w:eastAsia="zh-CN" w:bidi="ar"/>
              </w:rPr>
              <w:t>24</w:t>
            </w:r>
          </w:p>
        </w:tc>
      </w:tr>
      <w:tr w14:paraId="5F775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jc w:val="center"/>
        </w:trPr>
        <w:tc>
          <w:tcPr>
            <w:tcW w:w="433" w:type="pct"/>
            <w:tcBorders>
              <w:top w:val="single" w:color="000000" w:sz="4" w:space="0"/>
              <w:left w:val="single" w:color="000000" w:sz="4" w:space="0"/>
              <w:bottom w:val="single" w:color="000000" w:sz="4" w:space="0"/>
              <w:right w:val="single" w:color="000000" w:sz="4" w:space="0"/>
            </w:tcBorders>
            <w:noWrap w:val="0"/>
            <w:vAlign w:val="center"/>
          </w:tcPr>
          <w:p w14:paraId="3C2C44A6">
            <w:pPr>
              <w:pStyle w:val="56"/>
              <w:widowControl/>
              <w:spacing w:line="240" w:lineRule="auto"/>
              <w:jc w:val="center"/>
              <w:rPr>
                <w:rFonts w:hint="eastAsia" w:ascii="方正仿宋_GBK" w:hAnsi="方正仿宋_GBK" w:eastAsia="方正仿宋_GBK" w:cs="方正仿宋_GBK"/>
                <w:kern w:val="2"/>
                <w:sz w:val="30"/>
                <w:szCs w:val="30"/>
                <w:lang w:val="en-US" w:eastAsia="zh-CN" w:bidi="ar-SA"/>
              </w:rPr>
            </w:pPr>
            <w:r>
              <w:rPr>
                <w:rFonts w:hint="eastAsia" w:ascii="方正仿宋_GBK" w:hAnsi="方正仿宋_GBK" w:eastAsia="方正仿宋_GBK" w:cs="方正仿宋_GBK"/>
                <w:kern w:val="2"/>
                <w:sz w:val="30"/>
                <w:szCs w:val="30"/>
                <w:lang w:val="en-US" w:eastAsia="zh-CN" w:bidi="ar-SA"/>
              </w:rPr>
              <w:t>15</w:t>
            </w:r>
          </w:p>
        </w:tc>
        <w:tc>
          <w:tcPr>
            <w:tcW w:w="15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1044F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4290EA">
            <w:pPr>
              <w:spacing w:line="240" w:lineRule="auto"/>
              <w:jc w:val="center"/>
              <w:rPr>
                <w:rFonts w:hint="eastAsia" w:ascii="方正仿宋_GBK" w:hAnsi="方正仿宋_GBK" w:eastAsia="方正仿宋_GBK" w:cs="方正仿宋_GBK"/>
                <w:kern w:val="0"/>
                <w:sz w:val="30"/>
                <w:szCs w:val="30"/>
                <w:shd w:val="clear" w:color="auto" w:fill="FFFFFF"/>
                <w:lang w:val="zh-CN"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c>
          <w:tcPr>
            <w:tcW w:w="142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884DD">
            <w:pPr>
              <w:spacing w:line="240" w:lineRule="auto"/>
              <w:jc w:val="center"/>
              <w:rPr>
                <w:rFonts w:hint="eastAsia" w:ascii="方正仿宋_GBK" w:hAnsi="方正仿宋_GBK" w:eastAsia="方正仿宋_GBK" w:cs="方正仿宋_GBK"/>
                <w:kern w:val="0"/>
                <w:sz w:val="30"/>
                <w:szCs w:val="30"/>
                <w:shd w:val="clear" w:color="auto" w:fill="FFFFFF"/>
                <w:lang w:val="zh-CN"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r>
    </w:tbl>
    <w:p w14:paraId="7C84DF0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5269229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4C8E23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72F5401F">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68B2AB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4706.1-2005 《家用和类似用途电器的安全 第1部分：通用要求》</w:t>
      </w:r>
      <w:r>
        <w:rPr>
          <w:rFonts w:hint="eastAsia" w:ascii="方正仿宋_GBK" w:hAnsi="方正仿宋_GBK" w:eastAsia="方正仿宋_GBK" w:cs="方正仿宋_GBK"/>
          <w:sz w:val="32"/>
          <w:szCs w:val="32"/>
          <w:lang w:eastAsia="zh-CN"/>
        </w:rPr>
        <w:t>；</w:t>
      </w:r>
    </w:p>
    <w:p w14:paraId="37F568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4706.19-2008《家用和类似用途电器的安全液体加热器的特殊要求》</w:t>
      </w:r>
      <w:r>
        <w:rPr>
          <w:rFonts w:hint="eastAsia" w:ascii="方正仿宋_GBK" w:hAnsi="方正仿宋_GBK" w:eastAsia="方正仿宋_GBK" w:cs="方正仿宋_GBK"/>
          <w:sz w:val="32"/>
          <w:szCs w:val="32"/>
          <w:lang w:eastAsia="zh-CN"/>
        </w:rPr>
        <w:t>；</w:t>
      </w:r>
    </w:p>
    <w:p w14:paraId="36433C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4744C87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0C1D15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ascii="方正仿宋_GBK" w:hAnsi="方正仿宋_GBK" w:eastAsia="方正仿宋_GBK" w:cs="方正仿宋_GBK"/>
          <w:sz w:val="32"/>
          <w:szCs w:val="32"/>
        </w:rPr>
        <w:t>GB 17625.1-2012 《电磁兼容 限值 谐波电流发射限值(设备每相输入电流≤16A)》</w:t>
      </w:r>
    </w:p>
    <w:p w14:paraId="393E58A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681530A9">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510785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bookmarkStart w:id="0" w:name="_GoBack"/>
      <w:bookmarkEnd w:id="0"/>
    </w:p>
    <w:p w14:paraId="4F0559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B2AFA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77071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89BD2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4873BA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E2599AF">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97D407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328D26E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D99BF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594C2C4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0E5A2">
    <w:pPr>
      <w:pStyle w:val="7"/>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15EDB4">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15EDB4">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80937">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D6B24A">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0D6B24A">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68D15">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D24EFE"/>
    <w:rsid w:val="06DE5BB2"/>
    <w:rsid w:val="07672914"/>
    <w:rsid w:val="077F7679"/>
    <w:rsid w:val="07BF3F65"/>
    <w:rsid w:val="07F50FE7"/>
    <w:rsid w:val="07FD5AEF"/>
    <w:rsid w:val="097537AA"/>
    <w:rsid w:val="0B270AD4"/>
    <w:rsid w:val="0BA639CA"/>
    <w:rsid w:val="0CFA1423"/>
    <w:rsid w:val="0F1C4CFF"/>
    <w:rsid w:val="0F8B7910"/>
    <w:rsid w:val="0FA26137"/>
    <w:rsid w:val="0FCF7CD7"/>
    <w:rsid w:val="0FDBD46C"/>
    <w:rsid w:val="0FDE2F82"/>
    <w:rsid w:val="0FE7E3B3"/>
    <w:rsid w:val="0FF1F824"/>
    <w:rsid w:val="12495675"/>
    <w:rsid w:val="127E2AA8"/>
    <w:rsid w:val="135FA0BA"/>
    <w:rsid w:val="157A1825"/>
    <w:rsid w:val="159F1815"/>
    <w:rsid w:val="15BFD474"/>
    <w:rsid w:val="169F9BF9"/>
    <w:rsid w:val="16E21CB9"/>
    <w:rsid w:val="16FB0492"/>
    <w:rsid w:val="17B79E71"/>
    <w:rsid w:val="17B7B7BA"/>
    <w:rsid w:val="17D51E8A"/>
    <w:rsid w:val="17EEF9D1"/>
    <w:rsid w:val="17FDD55A"/>
    <w:rsid w:val="184053F5"/>
    <w:rsid w:val="188821E5"/>
    <w:rsid w:val="18C14E5E"/>
    <w:rsid w:val="198E3CBB"/>
    <w:rsid w:val="1AF6179C"/>
    <w:rsid w:val="1AFF3B9A"/>
    <w:rsid w:val="1B103D73"/>
    <w:rsid w:val="1B41616E"/>
    <w:rsid w:val="1B6415FF"/>
    <w:rsid w:val="1BD62213"/>
    <w:rsid w:val="1BFEA00E"/>
    <w:rsid w:val="1CDC37CE"/>
    <w:rsid w:val="1D77C33A"/>
    <w:rsid w:val="1DEBB745"/>
    <w:rsid w:val="1E3F13CD"/>
    <w:rsid w:val="1E9E31A8"/>
    <w:rsid w:val="1ED66FCF"/>
    <w:rsid w:val="1EF7F7BF"/>
    <w:rsid w:val="1F7EBB5A"/>
    <w:rsid w:val="1F7FAC2A"/>
    <w:rsid w:val="1FAF4919"/>
    <w:rsid w:val="1FB36451"/>
    <w:rsid w:val="1FF87E2A"/>
    <w:rsid w:val="1FFB9F82"/>
    <w:rsid w:val="22B6F9AE"/>
    <w:rsid w:val="237F2682"/>
    <w:rsid w:val="23E7B3DB"/>
    <w:rsid w:val="24E848A1"/>
    <w:rsid w:val="25AD4C1F"/>
    <w:rsid w:val="26B0369A"/>
    <w:rsid w:val="273051AC"/>
    <w:rsid w:val="27D7CCBF"/>
    <w:rsid w:val="27EFC50A"/>
    <w:rsid w:val="27FDBB8D"/>
    <w:rsid w:val="29395066"/>
    <w:rsid w:val="29CF5C0C"/>
    <w:rsid w:val="2A2B2EF8"/>
    <w:rsid w:val="2A451373"/>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531C93"/>
    <w:rsid w:val="34FC592B"/>
    <w:rsid w:val="35AB6935"/>
    <w:rsid w:val="35B06902"/>
    <w:rsid w:val="35C7020E"/>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FEC3B7"/>
    <w:rsid w:val="45BB3CEC"/>
    <w:rsid w:val="45D71AB3"/>
    <w:rsid w:val="45DE0298"/>
    <w:rsid w:val="45F6F8F6"/>
    <w:rsid w:val="45FBC3A4"/>
    <w:rsid w:val="461A6091"/>
    <w:rsid w:val="469D551D"/>
    <w:rsid w:val="46FE088F"/>
    <w:rsid w:val="473F5884"/>
    <w:rsid w:val="475472AD"/>
    <w:rsid w:val="479E9BD7"/>
    <w:rsid w:val="47CD5B03"/>
    <w:rsid w:val="47EF0EC3"/>
    <w:rsid w:val="47F854A9"/>
    <w:rsid w:val="47FB23C7"/>
    <w:rsid w:val="48B4421B"/>
    <w:rsid w:val="495B44AF"/>
    <w:rsid w:val="4ABDA8F0"/>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26290"/>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1B4134"/>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D77D6D"/>
    <w:rsid w:val="63EBE787"/>
    <w:rsid w:val="63F5E8AB"/>
    <w:rsid w:val="63F6BD3E"/>
    <w:rsid w:val="64DF3C0F"/>
    <w:rsid w:val="65551C8F"/>
    <w:rsid w:val="658F1A76"/>
    <w:rsid w:val="65BBE108"/>
    <w:rsid w:val="65C57E4D"/>
    <w:rsid w:val="65FE7FDC"/>
    <w:rsid w:val="663718FB"/>
    <w:rsid w:val="666AB2A7"/>
    <w:rsid w:val="667F3DA1"/>
    <w:rsid w:val="66D5FB4F"/>
    <w:rsid w:val="66FFC62B"/>
    <w:rsid w:val="677A9DCE"/>
    <w:rsid w:val="677F88D1"/>
    <w:rsid w:val="67F2D6AA"/>
    <w:rsid w:val="67FB0353"/>
    <w:rsid w:val="67FF2755"/>
    <w:rsid w:val="67FF7418"/>
    <w:rsid w:val="67FFF123"/>
    <w:rsid w:val="696AD71A"/>
    <w:rsid w:val="697E77B5"/>
    <w:rsid w:val="69877F1D"/>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36959"/>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37539D"/>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091F3A"/>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85F75"/>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24104"/>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6"/>
    <w:autoRedefine/>
    <w:qFormat/>
    <w:uiPriority w:val="99"/>
    <w:pPr>
      <w:jc w:val="left"/>
      <w:outlineLvl w:val="0"/>
    </w:pPr>
    <w:rPr>
      <w:rFonts w:ascii="宋体" w:hAnsi="宋体" w:cs="宋体"/>
      <w:b/>
      <w:bCs/>
      <w:color w:val="333333"/>
      <w:kern w:val="44"/>
      <w:sz w:val="30"/>
      <w:szCs w:val="30"/>
    </w:rPr>
  </w:style>
  <w:style w:type="paragraph" w:styleId="2">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2">
    <w:name w:val="Default Paragraph Font"/>
    <w:autoRedefine/>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4">
    <w:name w:val="annotation text"/>
    <w:basedOn w:val="1"/>
    <w:link w:val="51"/>
    <w:autoRedefine/>
    <w:semiHidden/>
    <w:qFormat/>
    <w:uiPriority w:val="99"/>
    <w:pPr>
      <w:jc w:val="left"/>
    </w:pPr>
  </w:style>
  <w:style w:type="paragraph" w:styleId="5">
    <w:name w:val="Body Text"/>
    <w:basedOn w:val="1"/>
    <w:autoRedefine/>
    <w:qFormat/>
    <w:uiPriority w:val="0"/>
    <w:pPr>
      <w:snapToGrid w:val="0"/>
      <w:spacing w:line="440" w:lineRule="exact"/>
    </w:pPr>
    <w:rPr>
      <w:rFonts w:ascii="宋体" w:hAnsi="宋体"/>
      <w:color w:val="FF0000"/>
      <w:sz w:val="18"/>
    </w:rPr>
  </w:style>
  <w:style w:type="paragraph" w:styleId="6">
    <w:name w:val="Balloon Text"/>
    <w:basedOn w:val="1"/>
    <w:link w:val="49"/>
    <w:autoRedefine/>
    <w:semiHidden/>
    <w:qFormat/>
    <w:uiPriority w:val="99"/>
    <w:rPr>
      <w:sz w:val="18"/>
      <w:szCs w:val="18"/>
    </w:rPr>
  </w:style>
  <w:style w:type="paragraph" w:styleId="7">
    <w:name w:val="footer"/>
    <w:basedOn w:val="1"/>
    <w:link w:val="53"/>
    <w:autoRedefine/>
    <w:qFormat/>
    <w:uiPriority w:val="99"/>
    <w:pPr>
      <w:tabs>
        <w:tab w:val="center" w:pos="4153"/>
        <w:tab w:val="right" w:pos="8306"/>
      </w:tabs>
      <w:snapToGrid w:val="0"/>
      <w:jc w:val="left"/>
    </w:pPr>
    <w:rPr>
      <w:sz w:val="18"/>
      <w:szCs w:val="18"/>
    </w:rPr>
  </w:style>
  <w:style w:type="paragraph" w:styleId="8">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52"/>
    <w:autoRedefine/>
    <w:semiHidden/>
    <w:qFormat/>
    <w:uiPriority w:val="99"/>
    <w:rPr>
      <w:b/>
      <w:bCs/>
    </w:rPr>
  </w:style>
  <w:style w:type="table" w:styleId="11">
    <w:name w:val="Table Grid"/>
    <w:basedOn w:val="1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99"/>
    <w:rPr>
      <w:b/>
      <w:bCs/>
    </w:rPr>
  </w:style>
  <w:style w:type="character" w:styleId="14">
    <w:name w:val="page number"/>
    <w:basedOn w:val="12"/>
    <w:autoRedefine/>
    <w:qFormat/>
    <w:uiPriority w:val="99"/>
  </w:style>
  <w:style w:type="character" w:styleId="15">
    <w:name w:val="FollowedHyperlink"/>
    <w:basedOn w:val="12"/>
    <w:autoRedefine/>
    <w:qFormat/>
    <w:uiPriority w:val="99"/>
    <w:rPr>
      <w:color w:val="auto"/>
      <w:u w:val="none"/>
    </w:rPr>
  </w:style>
  <w:style w:type="character" w:styleId="16">
    <w:name w:val="Emphasis"/>
    <w:basedOn w:val="12"/>
    <w:autoRedefine/>
    <w:qFormat/>
    <w:uiPriority w:val="99"/>
    <w:rPr>
      <w:i/>
      <w:iCs/>
    </w:rPr>
  </w:style>
  <w:style w:type="character" w:styleId="17">
    <w:name w:val="HTML Definition"/>
    <w:basedOn w:val="12"/>
    <w:autoRedefine/>
    <w:qFormat/>
    <w:uiPriority w:val="99"/>
  </w:style>
  <w:style w:type="character" w:styleId="18">
    <w:name w:val="HTML Acronym"/>
    <w:basedOn w:val="12"/>
    <w:autoRedefine/>
    <w:qFormat/>
    <w:uiPriority w:val="99"/>
  </w:style>
  <w:style w:type="character" w:styleId="19">
    <w:name w:val="HTML Variable"/>
    <w:basedOn w:val="12"/>
    <w:autoRedefine/>
    <w:qFormat/>
    <w:uiPriority w:val="99"/>
  </w:style>
  <w:style w:type="character" w:styleId="20">
    <w:name w:val="Hyperlink"/>
    <w:basedOn w:val="12"/>
    <w:autoRedefine/>
    <w:qFormat/>
    <w:uiPriority w:val="99"/>
    <w:rPr>
      <w:color w:val="auto"/>
      <w:u w:val="none"/>
    </w:rPr>
  </w:style>
  <w:style w:type="character" w:styleId="21">
    <w:name w:val="HTML Code"/>
    <w:basedOn w:val="12"/>
    <w:autoRedefine/>
    <w:qFormat/>
    <w:uiPriority w:val="99"/>
    <w:rPr>
      <w:rFonts w:ascii="monospace" w:hAnsi="monospace" w:eastAsia="Times New Roman" w:cs="monospace"/>
      <w:sz w:val="24"/>
      <w:szCs w:val="24"/>
    </w:rPr>
  </w:style>
  <w:style w:type="character" w:styleId="22">
    <w:name w:val="annotation reference"/>
    <w:basedOn w:val="12"/>
    <w:autoRedefine/>
    <w:semiHidden/>
    <w:qFormat/>
    <w:uiPriority w:val="99"/>
    <w:rPr>
      <w:sz w:val="21"/>
      <w:szCs w:val="21"/>
    </w:rPr>
  </w:style>
  <w:style w:type="character" w:styleId="23">
    <w:name w:val="HTML Cite"/>
    <w:basedOn w:val="12"/>
    <w:autoRedefine/>
    <w:qFormat/>
    <w:uiPriority w:val="99"/>
  </w:style>
  <w:style w:type="character" w:styleId="24">
    <w:name w:val="HTML Keyboard"/>
    <w:basedOn w:val="12"/>
    <w:autoRedefine/>
    <w:qFormat/>
    <w:uiPriority w:val="99"/>
    <w:rPr>
      <w:rFonts w:ascii="monospace" w:hAnsi="monospace" w:eastAsia="Times New Roman" w:cs="monospace"/>
      <w:sz w:val="24"/>
      <w:szCs w:val="24"/>
    </w:rPr>
  </w:style>
  <w:style w:type="character" w:styleId="25">
    <w:name w:val="HTML Sample"/>
    <w:basedOn w:val="12"/>
    <w:autoRedefine/>
    <w:qFormat/>
    <w:uiPriority w:val="99"/>
    <w:rPr>
      <w:rFonts w:ascii="monospace" w:hAnsi="monospace" w:eastAsia="Times New Roman" w:cs="monospace"/>
      <w:sz w:val="24"/>
      <w:szCs w:val="24"/>
    </w:rPr>
  </w:style>
  <w:style w:type="character" w:customStyle="1" w:styleId="26">
    <w:name w:val="标题 1 Char"/>
    <w:basedOn w:val="12"/>
    <w:link w:val="3"/>
    <w:autoRedefine/>
    <w:qFormat/>
    <w:uiPriority w:val="9"/>
    <w:rPr>
      <w:b/>
      <w:bCs/>
      <w:kern w:val="44"/>
      <w:sz w:val="44"/>
      <w:szCs w:val="44"/>
    </w:rPr>
  </w:style>
  <w:style w:type="character" w:customStyle="1" w:styleId="27">
    <w:name w:val="bds_more1"/>
    <w:basedOn w:val="12"/>
    <w:autoRedefine/>
    <w:qFormat/>
    <w:uiPriority w:val="99"/>
  </w:style>
  <w:style w:type="character" w:customStyle="1" w:styleId="28">
    <w:name w:val="org_name2"/>
    <w:basedOn w:val="12"/>
    <w:autoRedefine/>
    <w:qFormat/>
    <w:uiPriority w:val="99"/>
  </w:style>
  <w:style w:type="character" w:customStyle="1" w:styleId="29">
    <w:name w:val="no5"/>
    <w:basedOn w:val="12"/>
    <w:autoRedefine/>
    <w:qFormat/>
    <w:uiPriority w:val="99"/>
  </w:style>
  <w:style w:type="character" w:customStyle="1" w:styleId="30">
    <w:name w:val="Comment Text Char"/>
    <w:basedOn w:val="12"/>
    <w:autoRedefine/>
    <w:qFormat/>
    <w:locked/>
    <w:uiPriority w:val="99"/>
    <w:rPr>
      <w:kern w:val="2"/>
      <w:sz w:val="24"/>
      <w:szCs w:val="24"/>
    </w:rPr>
  </w:style>
  <w:style w:type="character" w:customStyle="1" w:styleId="31">
    <w:name w:val="bds_nopic"/>
    <w:basedOn w:val="12"/>
    <w:autoRedefine/>
    <w:qFormat/>
    <w:uiPriority w:val="99"/>
  </w:style>
  <w:style w:type="character" w:customStyle="1" w:styleId="32">
    <w:name w:val="bds_more"/>
    <w:basedOn w:val="12"/>
    <w:autoRedefine/>
    <w:qFormat/>
    <w:uiPriority w:val="99"/>
  </w:style>
  <w:style w:type="character" w:customStyle="1" w:styleId="33">
    <w:name w:val="ui-bz-bg-hover"/>
    <w:basedOn w:val="12"/>
    <w:autoRedefine/>
    <w:qFormat/>
    <w:uiPriority w:val="99"/>
    <w:rPr>
      <w:shd w:val="clear" w:color="auto" w:fill="000000"/>
    </w:rPr>
  </w:style>
  <w:style w:type="character" w:customStyle="1" w:styleId="34">
    <w:name w:val="f-star"/>
    <w:basedOn w:val="12"/>
    <w:autoRedefine/>
    <w:qFormat/>
    <w:uiPriority w:val="99"/>
    <w:rPr>
      <w:color w:val="auto"/>
      <w:sz w:val="21"/>
      <w:szCs w:val="21"/>
    </w:rPr>
  </w:style>
  <w:style w:type="character" w:customStyle="1" w:styleId="35">
    <w:name w:val="ui-bz-bg-hover1"/>
    <w:basedOn w:val="12"/>
    <w:autoRedefine/>
    <w:qFormat/>
    <w:uiPriority w:val="99"/>
  </w:style>
  <w:style w:type="character" w:customStyle="1" w:styleId="36">
    <w:name w:val="my-class2"/>
    <w:basedOn w:val="12"/>
    <w:autoRedefine/>
    <w:qFormat/>
    <w:uiPriority w:val="99"/>
  </w:style>
  <w:style w:type="character" w:customStyle="1" w:styleId="37">
    <w:name w:val="orange"/>
    <w:basedOn w:val="12"/>
    <w:autoRedefine/>
    <w:qFormat/>
    <w:uiPriority w:val="99"/>
    <w:rPr>
      <w:color w:val="auto"/>
    </w:rPr>
  </w:style>
  <w:style w:type="character" w:customStyle="1" w:styleId="38">
    <w:name w:val="no42"/>
    <w:basedOn w:val="12"/>
    <w:autoRedefine/>
    <w:qFormat/>
    <w:uiPriority w:val="99"/>
  </w:style>
  <w:style w:type="character" w:customStyle="1" w:styleId="39">
    <w:name w:val="bds_nopic2"/>
    <w:basedOn w:val="12"/>
    <w:autoRedefine/>
    <w:qFormat/>
    <w:uiPriority w:val="99"/>
  </w:style>
  <w:style w:type="character" w:customStyle="1" w:styleId="40">
    <w:name w:val="no72"/>
    <w:basedOn w:val="12"/>
    <w:autoRedefine/>
    <w:qFormat/>
    <w:uiPriority w:val="99"/>
  </w:style>
  <w:style w:type="character" w:customStyle="1" w:styleId="41">
    <w:name w:val="tip"/>
    <w:basedOn w:val="12"/>
    <w:autoRedefine/>
    <w:qFormat/>
    <w:uiPriority w:val="99"/>
    <w:rPr>
      <w:vanish/>
      <w:color w:val="FF0000"/>
      <w:sz w:val="18"/>
      <w:szCs w:val="18"/>
    </w:rPr>
  </w:style>
  <w:style w:type="character" w:customStyle="1" w:styleId="42">
    <w:name w:val="bds_nopic1"/>
    <w:basedOn w:val="12"/>
    <w:autoRedefine/>
    <w:qFormat/>
    <w:uiPriority w:val="99"/>
  </w:style>
  <w:style w:type="character" w:customStyle="1" w:styleId="43">
    <w:name w:val="no62"/>
    <w:basedOn w:val="12"/>
    <w:autoRedefine/>
    <w:qFormat/>
    <w:uiPriority w:val="99"/>
  </w:style>
  <w:style w:type="character" w:customStyle="1" w:styleId="44">
    <w:name w:val="my-notice1"/>
    <w:basedOn w:val="12"/>
    <w:autoRedefine/>
    <w:qFormat/>
    <w:uiPriority w:val="99"/>
  </w:style>
  <w:style w:type="character" w:customStyle="1" w:styleId="45">
    <w:name w:val="Comment Subject Char"/>
    <w:basedOn w:val="30"/>
    <w:autoRedefine/>
    <w:qFormat/>
    <w:locked/>
    <w:uiPriority w:val="99"/>
    <w:rPr>
      <w:b/>
      <w:bCs/>
      <w:kern w:val="2"/>
      <w:sz w:val="24"/>
      <w:szCs w:val="24"/>
    </w:rPr>
  </w:style>
  <w:style w:type="character" w:customStyle="1" w:styleId="46">
    <w:name w:val="top-icon"/>
    <w:basedOn w:val="12"/>
    <w:autoRedefine/>
    <w:qFormat/>
    <w:uiPriority w:val="99"/>
  </w:style>
  <w:style w:type="character" w:customStyle="1" w:styleId="47">
    <w:name w:val="t-tag"/>
    <w:basedOn w:val="12"/>
    <w:autoRedefine/>
    <w:qFormat/>
    <w:uiPriority w:val="99"/>
    <w:rPr>
      <w:color w:val="FFFFFF"/>
      <w:sz w:val="18"/>
      <w:szCs w:val="18"/>
      <w:shd w:val="clear" w:color="auto" w:fill="auto"/>
    </w:rPr>
  </w:style>
  <w:style w:type="character" w:customStyle="1" w:styleId="48">
    <w:name w:val="Balloon Text Char"/>
    <w:basedOn w:val="12"/>
    <w:autoRedefine/>
    <w:qFormat/>
    <w:locked/>
    <w:uiPriority w:val="99"/>
    <w:rPr>
      <w:kern w:val="2"/>
      <w:sz w:val="18"/>
      <w:szCs w:val="18"/>
    </w:rPr>
  </w:style>
  <w:style w:type="character" w:customStyle="1" w:styleId="49">
    <w:name w:val="批注框文本 Char"/>
    <w:basedOn w:val="12"/>
    <w:link w:val="6"/>
    <w:autoRedefine/>
    <w:semiHidden/>
    <w:qFormat/>
    <w:uiPriority w:val="99"/>
    <w:rPr>
      <w:sz w:val="0"/>
      <w:szCs w:val="0"/>
    </w:rPr>
  </w:style>
  <w:style w:type="character" w:customStyle="1" w:styleId="50">
    <w:name w:val="页眉 Char"/>
    <w:basedOn w:val="12"/>
    <w:link w:val="8"/>
    <w:autoRedefine/>
    <w:semiHidden/>
    <w:qFormat/>
    <w:uiPriority w:val="99"/>
    <w:rPr>
      <w:sz w:val="18"/>
      <w:szCs w:val="18"/>
    </w:rPr>
  </w:style>
  <w:style w:type="character" w:customStyle="1" w:styleId="51">
    <w:name w:val="批注文字 Char"/>
    <w:basedOn w:val="12"/>
    <w:link w:val="4"/>
    <w:autoRedefine/>
    <w:semiHidden/>
    <w:qFormat/>
    <w:uiPriority w:val="99"/>
    <w:rPr>
      <w:szCs w:val="21"/>
    </w:rPr>
  </w:style>
  <w:style w:type="character" w:customStyle="1" w:styleId="52">
    <w:name w:val="批注主题 Char"/>
    <w:basedOn w:val="30"/>
    <w:link w:val="9"/>
    <w:autoRedefine/>
    <w:semiHidden/>
    <w:qFormat/>
    <w:uiPriority w:val="99"/>
    <w:rPr>
      <w:b/>
      <w:bCs/>
      <w:kern w:val="2"/>
      <w:sz w:val="24"/>
      <w:szCs w:val="21"/>
    </w:rPr>
  </w:style>
  <w:style w:type="character" w:customStyle="1" w:styleId="53">
    <w:name w:val="页脚 Char"/>
    <w:basedOn w:val="12"/>
    <w:link w:val="7"/>
    <w:autoRedefine/>
    <w:semiHidden/>
    <w:qFormat/>
    <w:uiPriority w:val="99"/>
    <w:rPr>
      <w:sz w:val="18"/>
      <w:szCs w:val="18"/>
    </w:rPr>
  </w:style>
  <w:style w:type="paragraph" w:customStyle="1" w:styleId="54">
    <w:name w:val="Char"/>
    <w:basedOn w:val="1"/>
    <w:autoRedefine/>
    <w:qFormat/>
    <w:uiPriority w:val="99"/>
    <w:pPr>
      <w:widowControl/>
      <w:spacing w:after="160" w:line="240" w:lineRule="exact"/>
      <w:jc w:val="left"/>
    </w:pPr>
  </w:style>
  <w:style w:type="paragraph" w:customStyle="1" w:styleId="55">
    <w:name w:val="Char1"/>
    <w:basedOn w:val="1"/>
    <w:autoRedefine/>
    <w:qFormat/>
    <w:uiPriority w:val="99"/>
    <w:pPr>
      <w:widowControl/>
      <w:spacing w:after="160" w:line="240" w:lineRule="exact"/>
      <w:jc w:val="left"/>
    </w:pPr>
  </w:style>
  <w:style w:type="paragraph" w:customStyle="1" w:styleId="56">
    <w:name w:val="Table Paragraph"/>
    <w:basedOn w:val="1"/>
    <w:autoRedefine/>
    <w:qFormat/>
    <w:uiPriority w:val="1"/>
    <w:pPr>
      <w:jc w:val="left"/>
    </w:pPr>
    <w:rPr>
      <w:rFonts w:ascii="Calibri" w:hAnsi="Calibri"/>
      <w:kern w:val="0"/>
      <w:sz w:val="22"/>
      <w:szCs w:val="22"/>
      <w:lang w:eastAsia="en-US"/>
    </w:rPr>
  </w:style>
  <w:style w:type="paragraph" w:customStyle="1" w:styleId="57">
    <w:name w:val="Table Text"/>
    <w:basedOn w:val="1"/>
    <w:autoRedefine/>
    <w:semiHidden/>
    <w:qFormat/>
    <w:uiPriority w:val="0"/>
    <w:rPr>
      <w:rFonts w:ascii="宋体" w:hAnsi="宋体" w:eastAsia="宋体" w:cs="宋体"/>
      <w:sz w:val="20"/>
      <w:szCs w:val="20"/>
      <w:lang w:val="en-US" w:eastAsia="en-US" w:bidi="ar-SA"/>
    </w:rPr>
  </w:style>
  <w:style w:type="paragraph" w:customStyle="1" w:styleId="58">
    <w:name w:val="列出段落11"/>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1351</Words>
  <Characters>2148</Characters>
  <Lines>26</Lines>
  <Paragraphs>7</Paragraphs>
  <TotalTime>0</TotalTime>
  <ScaleCrop>false</ScaleCrop>
  <LinksUpToDate>false</LinksUpToDate>
  <CharactersWithSpaces>2234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2025-04-25T01:00:57Z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E6E26FD03B6D44D5A5CCDCACAF3A6B8A_13</vt:lpwstr>
  </property>
  <property fmtid="{D5CDD505-2E9C-101B-9397-08002B2CF9AE}" pid="4" name="KSOTemplateDocerSaveRecord">
    <vt:lpwstr>eyJoZGlkIjoiN2JmYWVhZDIzYTE2NzI3MDQyNGQ1MTY2OTc1M2UxNDMiLCJ1c2VySWQiOiI1NDg3MDIzNTgifQ==</vt:lpwstr>
  </property>
</Properties>
</file>