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B259A">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1E5CAECF">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Theme="majorEastAsia" w:hAnsiTheme="majorEastAsia" w:eastAsiaTheme="majorEastAsia" w:cstheme="majorEastAsia"/>
          <w:color w:val="000000"/>
          <w:sz w:val="44"/>
          <w:szCs w:val="44"/>
          <w:lang w:eastAsia="zh-CN"/>
        </w:rPr>
        <w:t>—</w:t>
      </w:r>
      <w:r>
        <w:rPr>
          <w:rFonts w:hint="eastAsia" w:asciiTheme="majorEastAsia" w:hAnsiTheme="majorEastAsia" w:eastAsiaTheme="majorEastAsia" w:cstheme="majorEastAsia"/>
          <w:b/>
          <w:bCs/>
          <w:color w:val="000000"/>
          <w:sz w:val="44"/>
          <w:szCs w:val="44"/>
          <w:lang w:val="en-US" w:eastAsia="zh-CN"/>
        </w:rPr>
        <w:t>电冰箱（含冷柜）</w:t>
      </w:r>
    </w:p>
    <w:p w14:paraId="703A3C28">
      <w:pPr>
        <w:pStyle w:val="2"/>
        <w:rPr>
          <w:rFonts w:hint="eastAsia"/>
        </w:rPr>
      </w:pPr>
    </w:p>
    <w:p w14:paraId="0BAA048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475988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电冰箱（含冷柜）</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02B57EA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6658DA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5639D1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电冰箱（含冷柜）产品</w:t>
      </w:r>
      <w:r>
        <w:rPr>
          <w:rFonts w:hint="eastAsia" w:ascii="方正仿宋_GBK" w:hAnsi="方正仿宋_GBK" w:eastAsia="方正仿宋_GBK" w:cs="方正仿宋_GBK"/>
          <w:sz w:val="32"/>
          <w:szCs w:val="32"/>
        </w:rPr>
        <w:t>抽样数量为2台（套），其中1台（套）作为检验样品，1台（套）作为备用样品，抽样基数满足抽样数量即可。</w:t>
      </w:r>
    </w:p>
    <w:p w14:paraId="63B1054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469DECE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5A2E122">
      <w:pPr>
        <w:pStyle w:val="2"/>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  检验项目</w:t>
      </w:r>
    </w:p>
    <w:tbl>
      <w:tblPr>
        <w:tblStyle w:val="10"/>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7"/>
        <w:gridCol w:w="2640"/>
        <w:gridCol w:w="2572"/>
        <w:gridCol w:w="2649"/>
      </w:tblGrid>
      <w:tr w14:paraId="19D2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11" w:hRule="atLeast"/>
          <w:tblHeader/>
          <w:jc w:val="center"/>
        </w:trPr>
        <w:tc>
          <w:tcPr>
            <w:tcW w:w="857" w:type="dxa"/>
            <w:tcBorders>
              <w:bottom w:val="single" w:color="auto" w:sz="4" w:space="0"/>
            </w:tcBorders>
            <w:noWrap/>
            <w:tcMar>
              <w:top w:w="15" w:type="dxa"/>
              <w:left w:w="15" w:type="dxa"/>
              <w:bottom w:w="0" w:type="dxa"/>
              <w:right w:w="15" w:type="dxa"/>
            </w:tcMar>
            <w:vAlign w:val="center"/>
          </w:tcPr>
          <w:p w14:paraId="75C3C310">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序号</w:t>
            </w:r>
          </w:p>
        </w:tc>
        <w:tc>
          <w:tcPr>
            <w:tcW w:w="2640" w:type="dxa"/>
            <w:tcBorders>
              <w:bottom w:val="single" w:color="auto" w:sz="4" w:space="0"/>
            </w:tcBorders>
            <w:noWrap w:val="0"/>
            <w:tcMar>
              <w:top w:w="15" w:type="dxa"/>
              <w:left w:w="15" w:type="dxa"/>
              <w:bottom w:w="0" w:type="dxa"/>
              <w:right w:w="15" w:type="dxa"/>
            </w:tcMar>
            <w:vAlign w:val="center"/>
          </w:tcPr>
          <w:p w14:paraId="36FA594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检验项目</w:t>
            </w:r>
          </w:p>
        </w:tc>
        <w:tc>
          <w:tcPr>
            <w:tcW w:w="2572" w:type="dxa"/>
            <w:tcBorders>
              <w:bottom w:val="single" w:color="auto" w:sz="4" w:space="0"/>
            </w:tcBorders>
            <w:noWrap w:val="0"/>
            <w:tcMar>
              <w:top w:w="15" w:type="dxa"/>
              <w:left w:w="15" w:type="dxa"/>
              <w:bottom w:w="0" w:type="dxa"/>
              <w:right w:w="15" w:type="dxa"/>
            </w:tcMar>
            <w:vAlign w:val="center"/>
          </w:tcPr>
          <w:p w14:paraId="64F8F77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判定依据</w:t>
            </w:r>
          </w:p>
        </w:tc>
        <w:tc>
          <w:tcPr>
            <w:tcW w:w="2649" w:type="dxa"/>
            <w:tcBorders>
              <w:bottom w:val="single" w:color="auto" w:sz="4" w:space="0"/>
            </w:tcBorders>
            <w:noWrap w:val="0"/>
            <w:tcMar>
              <w:top w:w="15" w:type="dxa"/>
              <w:left w:w="15" w:type="dxa"/>
              <w:bottom w:w="0" w:type="dxa"/>
              <w:right w:w="15" w:type="dxa"/>
            </w:tcMar>
            <w:vAlign w:val="center"/>
          </w:tcPr>
          <w:p w14:paraId="07E29F5E">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检测方法</w:t>
            </w:r>
          </w:p>
        </w:tc>
      </w:tr>
      <w:tr w14:paraId="4353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41FF555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w:t>
            </w:r>
          </w:p>
        </w:tc>
        <w:tc>
          <w:tcPr>
            <w:tcW w:w="2640" w:type="dxa"/>
            <w:noWrap w:val="0"/>
            <w:tcMar>
              <w:top w:w="15" w:type="dxa"/>
              <w:left w:w="15" w:type="dxa"/>
              <w:bottom w:w="0" w:type="dxa"/>
              <w:right w:w="15" w:type="dxa"/>
            </w:tcMar>
            <w:vAlign w:val="center"/>
          </w:tcPr>
          <w:p w14:paraId="7A0B4A0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标志和说明</w:t>
            </w:r>
          </w:p>
        </w:tc>
        <w:tc>
          <w:tcPr>
            <w:tcW w:w="2572" w:type="dxa"/>
            <w:noWrap w:val="0"/>
            <w:tcMar>
              <w:top w:w="15" w:type="dxa"/>
              <w:left w:w="15" w:type="dxa"/>
              <w:bottom w:w="0" w:type="dxa"/>
              <w:right w:w="15" w:type="dxa"/>
            </w:tcMar>
            <w:vAlign w:val="center"/>
          </w:tcPr>
          <w:p w14:paraId="0AC11B0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76635FF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437C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7" w:hRule="atLeast"/>
          <w:jc w:val="center"/>
        </w:trPr>
        <w:tc>
          <w:tcPr>
            <w:tcW w:w="857" w:type="dxa"/>
            <w:noWrap/>
            <w:tcMar>
              <w:top w:w="15" w:type="dxa"/>
              <w:left w:w="15" w:type="dxa"/>
              <w:bottom w:w="0" w:type="dxa"/>
              <w:right w:w="15" w:type="dxa"/>
            </w:tcMar>
            <w:vAlign w:val="center"/>
          </w:tcPr>
          <w:p w14:paraId="24A00FBB">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2</w:t>
            </w:r>
          </w:p>
        </w:tc>
        <w:tc>
          <w:tcPr>
            <w:tcW w:w="2640" w:type="dxa"/>
            <w:noWrap w:val="0"/>
            <w:tcMar>
              <w:top w:w="15" w:type="dxa"/>
              <w:left w:w="15" w:type="dxa"/>
              <w:bottom w:w="0" w:type="dxa"/>
              <w:right w:w="15" w:type="dxa"/>
            </w:tcMar>
            <w:vAlign w:val="center"/>
          </w:tcPr>
          <w:p w14:paraId="0EF28FC3">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对触及带电部件的防护</w:t>
            </w:r>
          </w:p>
        </w:tc>
        <w:tc>
          <w:tcPr>
            <w:tcW w:w="2572" w:type="dxa"/>
            <w:noWrap w:val="0"/>
            <w:tcMar>
              <w:top w:w="15" w:type="dxa"/>
              <w:left w:w="15" w:type="dxa"/>
              <w:bottom w:w="0" w:type="dxa"/>
              <w:right w:w="15" w:type="dxa"/>
            </w:tcMar>
            <w:vAlign w:val="center"/>
          </w:tcPr>
          <w:p w14:paraId="0BA0CBB8">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7426653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008E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0998B783">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3</w:t>
            </w:r>
          </w:p>
        </w:tc>
        <w:tc>
          <w:tcPr>
            <w:tcW w:w="2640" w:type="dxa"/>
            <w:noWrap w:val="0"/>
            <w:tcMar>
              <w:top w:w="15" w:type="dxa"/>
              <w:left w:w="15" w:type="dxa"/>
              <w:bottom w:w="0" w:type="dxa"/>
              <w:right w:w="15" w:type="dxa"/>
            </w:tcMar>
            <w:vAlign w:val="center"/>
          </w:tcPr>
          <w:p w14:paraId="2161DD8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输入功率和电流</w:t>
            </w:r>
          </w:p>
        </w:tc>
        <w:tc>
          <w:tcPr>
            <w:tcW w:w="2572" w:type="dxa"/>
            <w:noWrap w:val="0"/>
            <w:tcMar>
              <w:top w:w="15" w:type="dxa"/>
              <w:left w:w="15" w:type="dxa"/>
              <w:bottom w:w="0" w:type="dxa"/>
              <w:right w:w="15" w:type="dxa"/>
            </w:tcMar>
            <w:vAlign w:val="center"/>
          </w:tcPr>
          <w:p w14:paraId="4B5C4CC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472AAC1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4E9B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4D99BC95">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4</w:t>
            </w:r>
          </w:p>
        </w:tc>
        <w:tc>
          <w:tcPr>
            <w:tcW w:w="2640" w:type="dxa"/>
            <w:noWrap w:val="0"/>
            <w:tcMar>
              <w:top w:w="15" w:type="dxa"/>
              <w:left w:w="15" w:type="dxa"/>
              <w:bottom w:w="0" w:type="dxa"/>
              <w:right w:w="15" w:type="dxa"/>
            </w:tcMar>
            <w:vAlign w:val="center"/>
          </w:tcPr>
          <w:p w14:paraId="0B18908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耐潮湿</w:t>
            </w:r>
          </w:p>
        </w:tc>
        <w:tc>
          <w:tcPr>
            <w:tcW w:w="2572" w:type="dxa"/>
            <w:noWrap w:val="0"/>
            <w:tcMar>
              <w:top w:w="15" w:type="dxa"/>
              <w:left w:w="15" w:type="dxa"/>
              <w:bottom w:w="0" w:type="dxa"/>
              <w:right w:w="15" w:type="dxa"/>
            </w:tcMar>
            <w:vAlign w:val="center"/>
          </w:tcPr>
          <w:p w14:paraId="14F497B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16C6567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0E6D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5C2000EB">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5</w:t>
            </w:r>
          </w:p>
        </w:tc>
        <w:tc>
          <w:tcPr>
            <w:tcW w:w="2640" w:type="dxa"/>
            <w:noWrap w:val="0"/>
            <w:tcMar>
              <w:top w:w="15" w:type="dxa"/>
              <w:left w:w="15" w:type="dxa"/>
              <w:bottom w:w="0" w:type="dxa"/>
              <w:right w:w="15" w:type="dxa"/>
            </w:tcMar>
            <w:vAlign w:val="center"/>
          </w:tcPr>
          <w:p w14:paraId="7714DC4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泄漏电流和电气强度</w:t>
            </w:r>
          </w:p>
        </w:tc>
        <w:tc>
          <w:tcPr>
            <w:tcW w:w="2572" w:type="dxa"/>
            <w:noWrap w:val="0"/>
            <w:tcMar>
              <w:top w:w="15" w:type="dxa"/>
              <w:left w:w="15" w:type="dxa"/>
              <w:bottom w:w="0" w:type="dxa"/>
              <w:right w:w="15" w:type="dxa"/>
            </w:tcMar>
            <w:vAlign w:val="center"/>
          </w:tcPr>
          <w:p w14:paraId="03149BC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3E72944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68E9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18A608B7">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6</w:t>
            </w:r>
          </w:p>
        </w:tc>
        <w:tc>
          <w:tcPr>
            <w:tcW w:w="2640" w:type="dxa"/>
            <w:noWrap w:val="0"/>
            <w:tcMar>
              <w:top w:w="15" w:type="dxa"/>
              <w:left w:w="15" w:type="dxa"/>
              <w:bottom w:w="0" w:type="dxa"/>
              <w:right w:w="15" w:type="dxa"/>
            </w:tcMar>
            <w:vAlign w:val="center"/>
          </w:tcPr>
          <w:p w14:paraId="3CAE415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稳定性和机械危险</w:t>
            </w:r>
          </w:p>
        </w:tc>
        <w:tc>
          <w:tcPr>
            <w:tcW w:w="2572" w:type="dxa"/>
            <w:noWrap w:val="0"/>
            <w:tcMar>
              <w:top w:w="15" w:type="dxa"/>
              <w:left w:w="15" w:type="dxa"/>
              <w:bottom w:w="0" w:type="dxa"/>
              <w:right w:w="15" w:type="dxa"/>
            </w:tcMar>
            <w:vAlign w:val="center"/>
          </w:tcPr>
          <w:p w14:paraId="72E148A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05868187">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4C63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299EBFA5">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7</w:t>
            </w:r>
          </w:p>
        </w:tc>
        <w:tc>
          <w:tcPr>
            <w:tcW w:w="2640" w:type="dxa"/>
            <w:noWrap w:val="0"/>
            <w:tcMar>
              <w:top w:w="15" w:type="dxa"/>
              <w:left w:w="15" w:type="dxa"/>
              <w:bottom w:w="0" w:type="dxa"/>
              <w:right w:w="15" w:type="dxa"/>
            </w:tcMar>
            <w:vAlign w:val="center"/>
          </w:tcPr>
          <w:p w14:paraId="2A41347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机械强度</w:t>
            </w:r>
          </w:p>
        </w:tc>
        <w:tc>
          <w:tcPr>
            <w:tcW w:w="2572" w:type="dxa"/>
            <w:noWrap w:val="0"/>
            <w:tcMar>
              <w:top w:w="15" w:type="dxa"/>
              <w:left w:w="15" w:type="dxa"/>
              <w:bottom w:w="0" w:type="dxa"/>
              <w:right w:w="15" w:type="dxa"/>
            </w:tcMar>
            <w:vAlign w:val="center"/>
          </w:tcPr>
          <w:p w14:paraId="22EA424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7F3BF5F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2D48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6BB5202E">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8</w:t>
            </w:r>
          </w:p>
        </w:tc>
        <w:tc>
          <w:tcPr>
            <w:tcW w:w="2640" w:type="dxa"/>
            <w:noWrap w:val="0"/>
            <w:tcMar>
              <w:top w:w="15" w:type="dxa"/>
              <w:left w:w="15" w:type="dxa"/>
              <w:bottom w:w="0" w:type="dxa"/>
              <w:right w:w="15" w:type="dxa"/>
            </w:tcMar>
            <w:vAlign w:val="center"/>
          </w:tcPr>
          <w:p w14:paraId="65E4BD4F">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结构（不包括第 22.46 条的试验）</w:t>
            </w:r>
          </w:p>
        </w:tc>
        <w:tc>
          <w:tcPr>
            <w:tcW w:w="2572" w:type="dxa"/>
            <w:noWrap w:val="0"/>
            <w:tcMar>
              <w:top w:w="15" w:type="dxa"/>
              <w:left w:w="15" w:type="dxa"/>
              <w:bottom w:w="0" w:type="dxa"/>
              <w:right w:w="15" w:type="dxa"/>
            </w:tcMar>
            <w:vAlign w:val="center"/>
          </w:tcPr>
          <w:p w14:paraId="5117925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65C2DC9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3EF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6487B977">
            <w:pPr>
              <w:spacing w:line="240" w:lineRule="auto"/>
              <w:jc w:val="center"/>
              <w:rPr>
                <w:rFonts w:hint="eastAsia" w:ascii="方正仿宋_GBK" w:hAnsi="方正仿宋_GBK" w:eastAsia="方正仿宋_GBK" w:cs="方正仿宋_GBK"/>
                <w:kern w:val="0"/>
                <w:sz w:val="30"/>
                <w:szCs w:val="30"/>
                <w:shd w:val="clear" w:color="auto" w:fill="FFFFFF"/>
                <w:lang w:eastAsia="zh-CN" w:bidi="ar"/>
              </w:rPr>
            </w:pPr>
            <w:r>
              <w:rPr>
                <w:rFonts w:hint="eastAsia" w:ascii="方正仿宋_GBK" w:hAnsi="方正仿宋_GBK" w:eastAsia="方正仿宋_GBK" w:cs="方正仿宋_GBK"/>
                <w:kern w:val="0"/>
                <w:sz w:val="30"/>
                <w:szCs w:val="30"/>
                <w:shd w:val="clear" w:color="auto" w:fill="FFFFFF"/>
                <w:lang w:val="en-US" w:eastAsia="zh-CN" w:bidi="ar"/>
              </w:rPr>
              <w:t>9</w:t>
            </w:r>
          </w:p>
        </w:tc>
        <w:tc>
          <w:tcPr>
            <w:tcW w:w="2640" w:type="dxa"/>
            <w:noWrap w:val="0"/>
            <w:tcMar>
              <w:top w:w="15" w:type="dxa"/>
              <w:left w:w="15" w:type="dxa"/>
              <w:bottom w:w="0" w:type="dxa"/>
              <w:right w:w="15" w:type="dxa"/>
            </w:tcMar>
            <w:vAlign w:val="center"/>
          </w:tcPr>
          <w:p w14:paraId="1B59F62C">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内部布线</w:t>
            </w:r>
          </w:p>
        </w:tc>
        <w:tc>
          <w:tcPr>
            <w:tcW w:w="2572" w:type="dxa"/>
            <w:noWrap w:val="0"/>
            <w:tcMar>
              <w:top w:w="15" w:type="dxa"/>
              <w:left w:w="15" w:type="dxa"/>
              <w:bottom w:w="0" w:type="dxa"/>
              <w:right w:w="15" w:type="dxa"/>
            </w:tcMar>
            <w:vAlign w:val="center"/>
          </w:tcPr>
          <w:p w14:paraId="086CBBD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292A59C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6C3D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0CEDC040">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10</w:t>
            </w:r>
          </w:p>
        </w:tc>
        <w:tc>
          <w:tcPr>
            <w:tcW w:w="2640" w:type="dxa"/>
            <w:noWrap w:val="0"/>
            <w:tcMar>
              <w:top w:w="15" w:type="dxa"/>
              <w:left w:w="15" w:type="dxa"/>
              <w:bottom w:w="0" w:type="dxa"/>
              <w:right w:w="15" w:type="dxa"/>
            </w:tcMar>
            <w:vAlign w:val="center"/>
          </w:tcPr>
          <w:p w14:paraId="14260B0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电源连接和外部软线</w:t>
            </w:r>
          </w:p>
        </w:tc>
        <w:tc>
          <w:tcPr>
            <w:tcW w:w="2572" w:type="dxa"/>
            <w:noWrap w:val="0"/>
            <w:tcMar>
              <w:top w:w="15" w:type="dxa"/>
              <w:left w:w="15" w:type="dxa"/>
              <w:bottom w:w="0" w:type="dxa"/>
              <w:right w:w="15" w:type="dxa"/>
            </w:tcMar>
            <w:vAlign w:val="center"/>
          </w:tcPr>
          <w:p w14:paraId="5A869D1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241630B4">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6180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72B55796">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11</w:t>
            </w:r>
          </w:p>
        </w:tc>
        <w:tc>
          <w:tcPr>
            <w:tcW w:w="2640" w:type="dxa"/>
            <w:noWrap w:val="0"/>
            <w:tcMar>
              <w:top w:w="15" w:type="dxa"/>
              <w:left w:w="15" w:type="dxa"/>
              <w:bottom w:w="0" w:type="dxa"/>
              <w:right w:w="15" w:type="dxa"/>
            </w:tcMar>
            <w:vAlign w:val="center"/>
          </w:tcPr>
          <w:p w14:paraId="44739E78">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外部导线用接线端子</w:t>
            </w:r>
          </w:p>
        </w:tc>
        <w:tc>
          <w:tcPr>
            <w:tcW w:w="2572" w:type="dxa"/>
            <w:noWrap w:val="0"/>
            <w:tcMar>
              <w:top w:w="15" w:type="dxa"/>
              <w:left w:w="15" w:type="dxa"/>
              <w:bottom w:w="0" w:type="dxa"/>
              <w:right w:w="15" w:type="dxa"/>
            </w:tcMar>
            <w:vAlign w:val="center"/>
          </w:tcPr>
          <w:p w14:paraId="0AB8822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190799A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706F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6E05E5F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12</w:t>
            </w:r>
          </w:p>
        </w:tc>
        <w:tc>
          <w:tcPr>
            <w:tcW w:w="2640" w:type="dxa"/>
            <w:noWrap w:val="0"/>
            <w:tcMar>
              <w:top w:w="15" w:type="dxa"/>
              <w:left w:w="15" w:type="dxa"/>
              <w:bottom w:w="0" w:type="dxa"/>
              <w:right w:w="15" w:type="dxa"/>
            </w:tcMar>
            <w:vAlign w:val="center"/>
          </w:tcPr>
          <w:p w14:paraId="612CCCAA">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接地措施</w:t>
            </w:r>
          </w:p>
        </w:tc>
        <w:tc>
          <w:tcPr>
            <w:tcW w:w="2572" w:type="dxa"/>
            <w:noWrap w:val="0"/>
            <w:tcMar>
              <w:top w:w="15" w:type="dxa"/>
              <w:left w:w="15" w:type="dxa"/>
              <w:bottom w:w="0" w:type="dxa"/>
              <w:right w:w="15" w:type="dxa"/>
            </w:tcMar>
            <w:vAlign w:val="center"/>
          </w:tcPr>
          <w:p w14:paraId="1E8D52FD">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7F1624B5">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1471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1AE6AC3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13</w:t>
            </w:r>
          </w:p>
        </w:tc>
        <w:tc>
          <w:tcPr>
            <w:tcW w:w="2640" w:type="dxa"/>
            <w:noWrap w:val="0"/>
            <w:tcMar>
              <w:top w:w="15" w:type="dxa"/>
              <w:left w:w="15" w:type="dxa"/>
              <w:bottom w:w="0" w:type="dxa"/>
              <w:right w:w="15" w:type="dxa"/>
            </w:tcMar>
            <w:vAlign w:val="center"/>
          </w:tcPr>
          <w:p w14:paraId="1E3D8286">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螺钉和连接</w:t>
            </w:r>
          </w:p>
        </w:tc>
        <w:tc>
          <w:tcPr>
            <w:tcW w:w="2572" w:type="dxa"/>
            <w:noWrap w:val="0"/>
            <w:tcMar>
              <w:top w:w="15" w:type="dxa"/>
              <w:left w:w="15" w:type="dxa"/>
              <w:bottom w:w="0" w:type="dxa"/>
              <w:right w:w="15" w:type="dxa"/>
            </w:tcMar>
            <w:vAlign w:val="center"/>
          </w:tcPr>
          <w:p w14:paraId="726E9968">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43E7A24B">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6715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638669C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14</w:t>
            </w:r>
          </w:p>
        </w:tc>
        <w:tc>
          <w:tcPr>
            <w:tcW w:w="2640" w:type="dxa"/>
            <w:noWrap w:val="0"/>
            <w:tcMar>
              <w:top w:w="15" w:type="dxa"/>
              <w:left w:w="15" w:type="dxa"/>
              <w:bottom w:w="0" w:type="dxa"/>
              <w:right w:w="15" w:type="dxa"/>
            </w:tcMar>
            <w:vAlign w:val="center"/>
          </w:tcPr>
          <w:p w14:paraId="16D075C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电气间隙、爬电距离和固体绝缘</w:t>
            </w:r>
          </w:p>
        </w:tc>
        <w:tc>
          <w:tcPr>
            <w:tcW w:w="2572" w:type="dxa"/>
            <w:noWrap w:val="0"/>
            <w:tcMar>
              <w:top w:w="15" w:type="dxa"/>
              <w:left w:w="15" w:type="dxa"/>
              <w:bottom w:w="0" w:type="dxa"/>
              <w:right w:w="15" w:type="dxa"/>
            </w:tcMar>
            <w:vAlign w:val="center"/>
          </w:tcPr>
          <w:p w14:paraId="42A404F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c>
          <w:tcPr>
            <w:tcW w:w="2649" w:type="dxa"/>
            <w:noWrap w:val="0"/>
            <w:tcMar>
              <w:top w:w="15" w:type="dxa"/>
              <w:left w:w="15" w:type="dxa"/>
              <w:bottom w:w="0" w:type="dxa"/>
              <w:right w:w="15" w:type="dxa"/>
            </w:tcMar>
            <w:vAlign w:val="center"/>
          </w:tcPr>
          <w:p w14:paraId="53C55AFA">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val="en-US" w:eastAsia="zh-CN" w:bidi="ar"/>
              </w:rPr>
              <w:t>GB 4706.1-2005           GB 4706.13-2014</w:t>
            </w:r>
          </w:p>
        </w:tc>
      </w:tr>
      <w:tr w14:paraId="3503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8" w:hRule="atLeast"/>
          <w:jc w:val="center"/>
        </w:trPr>
        <w:tc>
          <w:tcPr>
            <w:tcW w:w="857" w:type="dxa"/>
            <w:noWrap/>
            <w:tcMar>
              <w:top w:w="15" w:type="dxa"/>
              <w:left w:w="15" w:type="dxa"/>
              <w:bottom w:w="0" w:type="dxa"/>
              <w:right w:w="15" w:type="dxa"/>
            </w:tcMar>
            <w:vAlign w:val="center"/>
          </w:tcPr>
          <w:p w14:paraId="6FEC8FB2">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15</w:t>
            </w:r>
          </w:p>
        </w:tc>
        <w:tc>
          <w:tcPr>
            <w:tcW w:w="2640" w:type="dxa"/>
            <w:noWrap w:val="0"/>
            <w:tcMar>
              <w:top w:w="15" w:type="dxa"/>
              <w:left w:w="15" w:type="dxa"/>
              <w:bottom w:w="0" w:type="dxa"/>
              <w:right w:w="15" w:type="dxa"/>
            </w:tcMar>
            <w:vAlign w:val="center"/>
          </w:tcPr>
          <w:p w14:paraId="2F3766CD">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总容积</w:t>
            </w:r>
          </w:p>
        </w:tc>
        <w:tc>
          <w:tcPr>
            <w:tcW w:w="2572" w:type="dxa"/>
            <w:vMerge w:val="restart"/>
            <w:noWrap w:val="0"/>
            <w:tcMar>
              <w:top w:w="15" w:type="dxa"/>
              <w:left w:w="15" w:type="dxa"/>
              <w:bottom w:w="0" w:type="dxa"/>
              <w:right w:w="15" w:type="dxa"/>
            </w:tcMar>
            <w:vAlign w:val="center"/>
          </w:tcPr>
          <w:p w14:paraId="5FCD878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GB/T 8059-2016</w:t>
            </w:r>
          </w:p>
          <w:p w14:paraId="4B78E00C">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12021.2-2015</w:t>
            </w:r>
          </w:p>
        </w:tc>
        <w:tc>
          <w:tcPr>
            <w:tcW w:w="2649" w:type="dxa"/>
            <w:vMerge w:val="restart"/>
            <w:noWrap w:val="0"/>
            <w:tcMar>
              <w:top w:w="15" w:type="dxa"/>
              <w:left w:w="15" w:type="dxa"/>
              <w:bottom w:w="0" w:type="dxa"/>
              <w:right w:w="15" w:type="dxa"/>
            </w:tcMar>
            <w:vAlign w:val="center"/>
          </w:tcPr>
          <w:p w14:paraId="0E326A4F">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GB/T 8059-2016</w:t>
            </w:r>
          </w:p>
          <w:p w14:paraId="56EE0AD2">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12021.2-2015</w:t>
            </w:r>
          </w:p>
        </w:tc>
      </w:tr>
      <w:tr w14:paraId="16CD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8" w:hRule="atLeast"/>
          <w:jc w:val="center"/>
        </w:trPr>
        <w:tc>
          <w:tcPr>
            <w:tcW w:w="857" w:type="dxa"/>
            <w:noWrap/>
            <w:tcMar>
              <w:top w:w="15" w:type="dxa"/>
              <w:left w:w="15" w:type="dxa"/>
              <w:bottom w:w="0" w:type="dxa"/>
              <w:right w:w="15" w:type="dxa"/>
            </w:tcMar>
            <w:vAlign w:val="center"/>
          </w:tcPr>
          <w:p w14:paraId="352FFDC4">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16</w:t>
            </w:r>
          </w:p>
        </w:tc>
        <w:tc>
          <w:tcPr>
            <w:tcW w:w="2640" w:type="dxa"/>
            <w:noWrap w:val="0"/>
            <w:tcMar>
              <w:top w:w="15" w:type="dxa"/>
              <w:left w:w="15" w:type="dxa"/>
              <w:bottom w:w="0" w:type="dxa"/>
              <w:right w:w="15" w:type="dxa"/>
            </w:tcMar>
            <w:vAlign w:val="center"/>
          </w:tcPr>
          <w:p w14:paraId="1DFEEDE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highlight w:val="none"/>
                <w:shd w:val="clear" w:color="auto" w:fill="FFFFFF"/>
                <w:lang w:val="en-US" w:eastAsia="zh-CN" w:bidi="ar"/>
              </w:rPr>
              <w:t>耗电量</w:t>
            </w:r>
          </w:p>
        </w:tc>
        <w:tc>
          <w:tcPr>
            <w:tcW w:w="2572" w:type="dxa"/>
            <w:vMerge w:val="continue"/>
            <w:noWrap w:val="0"/>
            <w:tcMar>
              <w:top w:w="15" w:type="dxa"/>
              <w:left w:w="15" w:type="dxa"/>
              <w:bottom w:w="0" w:type="dxa"/>
              <w:right w:w="15" w:type="dxa"/>
            </w:tcMar>
            <w:vAlign w:val="center"/>
          </w:tcPr>
          <w:p w14:paraId="2030D84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p>
        </w:tc>
        <w:tc>
          <w:tcPr>
            <w:tcW w:w="2649" w:type="dxa"/>
            <w:vMerge w:val="continue"/>
            <w:noWrap w:val="0"/>
            <w:tcMar>
              <w:top w:w="15" w:type="dxa"/>
              <w:left w:w="15" w:type="dxa"/>
              <w:bottom w:w="0" w:type="dxa"/>
              <w:right w:w="15" w:type="dxa"/>
            </w:tcMar>
            <w:vAlign w:val="center"/>
          </w:tcPr>
          <w:p w14:paraId="329CA67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p>
        </w:tc>
      </w:tr>
      <w:tr w14:paraId="45D5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8" w:hRule="atLeast"/>
          <w:jc w:val="center"/>
        </w:trPr>
        <w:tc>
          <w:tcPr>
            <w:tcW w:w="857" w:type="dxa"/>
            <w:noWrap/>
            <w:tcMar>
              <w:top w:w="15" w:type="dxa"/>
              <w:left w:w="15" w:type="dxa"/>
              <w:bottom w:w="0" w:type="dxa"/>
              <w:right w:w="15" w:type="dxa"/>
            </w:tcMar>
            <w:vAlign w:val="center"/>
          </w:tcPr>
          <w:p w14:paraId="46A6421E">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17</w:t>
            </w:r>
          </w:p>
        </w:tc>
        <w:tc>
          <w:tcPr>
            <w:tcW w:w="2640" w:type="dxa"/>
            <w:noWrap w:val="0"/>
            <w:tcMar>
              <w:top w:w="15" w:type="dxa"/>
              <w:left w:w="15" w:type="dxa"/>
              <w:bottom w:w="0" w:type="dxa"/>
              <w:right w:w="15" w:type="dxa"/>
            </w:tcMar>
            <w:vAlign w:val="center"/>
          </w:tcPr>
          <w:p w14:paraId="06AB74D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能效等级</w:t>
            </w:r>
          </w:p>
        </w:tc>
        <w:tc>
          <w:tcPr>
            <w:tcW w:w="2572" w:type="dxa"/>
            <w:vMerge w:val="continue"/>
            <w:noWrap w:val="0"/>
            <w:tcMar>
              <w:top w:w="15" w:type="dxa"/>
              <w:left w:w="15" w:type="dxa"/>
              <w:bottom w:w="0" w:type="dxa"/>
              <w:right w:w="15" w:type="dxa"/>
            </w:tcMar>
            <w:vAlign w:val="center"/>
          </w:tcPr>
          <w:p w14:paraId="78610466">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p>
        </w:tc>
        <w:tc>
          <w:tcPr>
            <w:tcW w:w="2649" w:type="dxa"/>
            <w:vMerge w:val="continue"/>
            <w:noWrap w:val="0"/>
            <w:tcMar>
              <w:top w:w="15" w:type="dxa"/>
              <w:left w:w="15" w:type="dxa"/>
              <w:bottom w:w="0" w:type="dxa"/>
              <w:right w:w="15" w:type="dxa"/>
            </w:tcMar>
            <w:vAlign w:val="center"/>
          </w:tcPr>
          <w:p w14:paraId="3B82808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p>
        </w:tc>
      </w:tr>
      <w:tr w14:paraId="687D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jc w:val="center"/>
        </w:trPr>
        <w:tc>
          <w:tcPr>
            <w:tcW w:w="857" w:type="dxa"/>
            <w:noWrap/>
            <w:tcMar>
              <w:top w:w="15" w:type="dxa"/>
              <w:left w:w="15" w:type="dxa"/>
              <w:bottom w:w="0" w:type="dxa"/>
              <w:right w:w="15" w:type="dxa"/>
            </w:tcMar>
            <w:vAlign w:val="center"/>
          </w:tcPr>
          <w:p w14:paraId="469DC696">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18</w:t>
            </w:r>
          </w:p>
        </w:tc>
        <w:tc>
          <w:tcPr>
            <w:tcW w:w="2640" w:type="dxa"/>
            <w:noWrap w:val="0"/>
            <w:tcMar>
              <w:top w:w="15" w:type="dxa"/>
              <w:left w:w="15" w:type="dxa"/>
              <w:bottom w:w="0" w:type="dxa"/>
              <w:right w:w="15" w:type="dxa"/>
            </w:tcMar>
            <w:vAlign w:val="center"/>
          </w:tcPr>
          <w:p w14:paraId="0180995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端子骚扰电压（连续骚扰）</w:t>
            </w:r>
          </w:p>
        </w:tc>
        <w:tc>
          <w:tcPr>
            <w:tcW w:w="2572" w:type="dxa"/>
            <w:vMerge w:val="restart"/>
            <w:noWrap w:val="0"/>
            <w:tcMar>
              <w:top w:w="15" w:type="dxa"/>
              <w:left w:w="15" w:type="dxa"/>
              <w:bottom w:w="0" w:type="dxa"/>
              <w:right w:w="15" w:type="dxa"/>
            </w:tcMar>
            <w:vAlign w:val="center"/>
          </w:tcPr>
          <w:p w14:paraId="37FBD9E6">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4343.1-2018</w:t>
            </w:r>
          </w:p>
          <w:p w14:paraId="068F54F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bidi="ar"/>
              </w:rPr>
              <w:t>GB 4343.1-2024</w:t>
            </w:r>
          </w:p>
        </w:tc>
        <w:tc>
          <w:tcPr>
            <w:tcW w:w="2649" w:type="dxa"/>
            <w:vMerge w:val="restart"/>
            <w:noWrap w:val="0"/>
            <w:tcMar>
              <w:top w:w="15" w:type="dxa"/>
              <w:left w:w="15" w:type="dxa"/>
              <w:bottom w:w="0" w:type="dxa"/>
              <w:right w:w="15" w:type="dxa"/>
            </w:tcMar>
            <w:vAlign w:val="center"/>
          </w:tcPr>
          <w:p w14:paraId="36A49363">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4343.1-2018</w:t>
            </w:r>
          </w:p>
          <w:p w14:paraId="5CB7DB4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bidi="ar"/>
              </w:rPr>
              <w:t>GB 4343.1-2024</w:t>
            </w:r>
          </w:p>
        </w:tc>
      </w:tr>
      <w:tr w14:paraId="3D93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8" w:hRule="atLeast"/>
          <w:jc w:val="center"/>
        </w:trPr>
        <w:tc>
          <w:tcPr>
            <w:tcW w:w="857" w:type="dxa"/>
            <w:noWrap/>
            <w:tcMar>
              <w:top w:w="15" w:type="dxa"/>
              <w:left w:w="15" w:type="dxa"/>
              <w:bottom w:w="0" w:type="dxa"/>
              <w:right w:w="15" w:type="dxa"/>
            </w:tcMar>
            <w:vAlign w:val="center"/>
          </w:tcPr>
          <w:p w14:paraId="60C406FE">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19</w:t>
            </w:r>
          </w:p>
        </w:tc>
        <w:tc>
          <w:tcPr>
            <w:tcW w:w="2640" w:type="dxa"/>
            <w:noWrap w:val="0"/>
            <w:tcMar>
              <w:top w:w="15" w:type="dxa"/>
              <w:left w:w="15" w:type="dxa"/>
              <w:bottom w:w="0" w:type="dxa"/>
              <w:right w:w="15" w:type="dxa"/>
            </w:tcMar>
            <w:vAlign w:val="center"/>
          </w:tcPr>
          <w:p w14:paraId="4ABB9237">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断续骚扰电压</w:t>
            </w:r>
          </w:p>
        </w:tc>
        <w:tc>
          <w:tcPr>
            <w:tcW w:w="2572" w:type="dxa"/>
            <w:vMerge w:val="continue"/>
            <w:noWrap w:val="0"/>
            <w:tcMar>
              <w:top w:w="15" w:type="dxa"/>
              <w:left w:w="15" w:type="dxa"/>
              <w:bottom w:w="0" w:type="dxa"/>
              <w:right w:w="15" w:type="dxa"/>
            </w:tcMar>
            <w:vAlign w:val="center"/>
          </w:tcPr>
          <w:p w14:paraId="5EA4BF40">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p>
        </w:tc>
        <w:tc>
          <w:tcPr>
            <w:tcW w:w="2649" w:type="dxa"/>
            <w:vMerge w:val="continue"/>
            <w:noWrap w:val="0"/>
            <w:tcMar>
              <w:top w:w="15" w:type="dxa"/>
              <w:left w:w="15" w:type="dxa"/>
              <w:bottom w:w="0" w:type="dxa"/>
              <w:right w:w="15" w:type="dxa"/>
            </w:tcMar>
            <w:vAlign w:val="center"/>
          </w:tcPr>
          <w:p w14:paraId="0248A109">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p>
        </w:tc>
      </w:tr>
      <w:tr w14:paraId="02C7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8" w:hRule="atLeast"/>
          <w:jc w:val="center"/>
        </w:trPr>
        <w:tc>
          <w:tcPr>
            <w:tcW w:w="857" w:type="dxa"/>
            <w:noWrap/>
            <w:tcMar>
              <w:top w:w="15" w:type="dxa"/>
              <w:left w:w="15" w:type="dxa"/>
              <w:bottom w:w="0" w:type="dxa"/>
              <w:right w:w="15" w:type="dxa"/>
            </w:tcMar>
            <w:vAlign w:val="center"/>
          </w:tcPr>
          <w:p w14:paraId="19EB4B4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20</w:t>
            </w:r>
          </w:p>
        </w:tc>
        <w:tc>
          <w:tcPr>
            <w:tcW w:w="2640" w:type="dxa"/>
            <w:noWrap w:val="0"/>
            <w:tcMar>
              <w:top w:w="15" w:type="dxa"/>
              <w:left w:w="15" w:type="dxa"/>
              <w:bottom w:w="0" w:type="dxa"/>
              <w:right w:w="15" w:type="dxa"/>
            </w:tcMar>
            <w:vAlign w:val="center"/>
          </w:tcPr>
          <w:p w14:paraId="14CF3896">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骚扰功率</w:t>
            </w:r>
          </w:p>
        </w:tc>
        <w:tc>
          <w:tcPr>
            <w:tcW w:w="2572" w:type="dxa"/>
            <w:vMerge w:val="continue"/>
            <w:noWrap w:val="0"/>
            <w:tcMar>
              <w:top w:w="15" w:type="dxa"/>
              <w:left w:w="15" w:type="dxa"/>
              <w:bottom w:w="0" w:type="dxa"/>
              <w:right w:w="15" w:type="dxa"/>
            </w:tcMar>
            <w:vAlign w:val="center"/>
          </w:tcPr>
          <w:p w14:paraId="1E521FD9">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p>
        </w:tc>
        <w:tc>
          <w:tcPr>
            <w:tcW w:w="2649" w:type="dxa"/>
            <w:vMerge w:val="continue"/>
            <w:noWrap w:val="0"/>
            <w:tcMar>
              <w:top w:w="15" w:type="dxa"/>
              <w:left w:w="15" w:type="dxa"/>
              <w:bottom w:w="0" w:type="dxa"/>
              <w:right w:w="15" w:type="dxa"/>
            </w:tcMar>
            <w:vAlign w:val="center"/>
          </w:tcPr>
          <w:p w14:paraId="69E497CE">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p>
        </w:tc>
      </w:tr>
      <w:tr w14:paraId="3F28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jc w:val="center"/>
        </w:trPr>
        <w:tc>
          <w:tcPr>
            <w:tcW w:w="857" w:type="dxa"/>
            <w:noWrap/>
            <w:tcMar>
              <w:top w:w="15" w:type="dxa"/>
              <w:left w:w="15" w:type="dxa"/>
              <w:bottom w:w="0" w:type="dxa"/>
              <w:right w:w="15" w:type="dxa"/>
            </w:tcMar>
            <w:vAlign w:val="center"/>
          </w:tcPr>
          <w:p w14:paraId="3D210085">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21</w:t>
            </w:r>
          </w:p>
        </w:tc>
        <w:tc>
          <w:tcPr>
            <w:tcW w:w="2640" w:type="dxa"/>
            <w:noWrap w:val="0"/>
            <w:tcMar>
              <w:top w:w="15" w:type="dxa"/>
              <w:left w:w="15" w:type="dxa"/>
              <w:bottom w:w="0" w:type="dxa"/>
              <w:right w:w="15" w:type="dxa"/>
            </w:tcMar>
            <w:vAlign w:val="center"/>
          </w:tcPr>
          <w:p w14:paraId="3D3523D1">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572" w:type="dxa"/>
            <w:noWrap w:val="0"/>
            <w:tcMar>
              <w:top w:w="15" w:type="dxa"/>
              <w:left w:w="15" w:type="dxa"/>
              <w:bottom w:w="0" w:type="dxa"/>
              <w:right w:w="15" w:type="dxa"/>
            </w:tcMar>
            <w:vAlign w:val="center"/>
          </w:tcPr>
          <w:p w14:paraId="0838E649">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2</w:t>
            </w:r>
            <w:r>
              <w:rPr>
                <w:rFonts w:hint="eastAsia" w:ascii="方正仿宋_GBK" w:hAnsi="方正仿宋_GBK" w:eastAsia="方正仿宋_GBK" w:cs="方正仿宋_GBK"/>
                <w:kern w:val="0"/>
                <w:sz w:val="30"/>
                <w:szCs w:val="30"/>
                <w:shd w:val="clear" w:color="auto" w:fill="FFFFFF"/>
                <w:lang w:bidi="ar"/>
              </w:rPr>
              <w:t>2</w:t>
            </w:r>
          </w:p>
          <w:p w14:paraId="466DEE2F">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r>
              <w:rPr>
                <w:rFonts w:hint="eastAsia" w:ascii="方正仿宋_GBK" w:hAnsi="方正仿宋_GBK" w:eastAsia="方正仿宋_GBK" w:cs="方正仿宋_GBK"/>
                <w:kern w:val="0"/>
                <w:sz w:val="30"/>
                <w:szCs w:val="30"/>
                <w:shd w:val="clear" w:color="auto" w:fill="FFFFFF"/>
                <w:lang w:bidi="ar"/>
              </w:rPr>
              <w:t>GB 17625.1-2012</w:t>
            </w:r>
          </w:p>
        </w:tc>
        <w:tc>
          <w:tcPr>
            <w:tcW w:w="2649" w:type="dxa"/>
            <w:noWrap w:val="0"/>
            <w:tcMar>
              <w:top w:w="15" w:type="dxa"/>
              <w:left w:w="15" w:type="dxa"/>
              <w:bottom w:w="0" w:type="dxa"/>
              <w:right w:w="15" w:type="dxa"/>
            </w:tcMar>
            <w:vAlign w:val="center"/>
          </w:tcPr>
          <w:p w14:paraId="219275A1">
            <w:pPr>
              <w:spacing w:line="240" w:lineRule="auto"/>
              <w:jc w:val="center"/>
              <w:rPr>
                <w:rFonts w:hint="eastAsia" w:ascii="方正仿宋_GBK" w:hAnsi="方正仿宋_GBK" w:eastAsia="方正仿宋_GBK" w:cs="方正仿宋_GBK"/>
                <w:kern w:val="0"/>
                <w:sz w:val="30"/>
                <w:szCs w:val="30"/>
                <w:shd w:val="clear" w:color="auto" w:fill="FFFFFF"/>
                <w:lang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2</w:t>
            </w:r>
            <w:r>
              <w:rPr>
                <w:rFonts w:hint="eastAsia" w:ascii="方正仿宋_GBK" w:hAnsi="方正仿宋_GBK" w:eastAsia="方正仿宋_GBK" w:cs="方正仿宋_GBK"/>
                <w:kern w:val="0"/>
                <w:sz w:val="30"/>
                <w:szCs w:val="30"/>
                <w:shd w:val="clear" w:color="auto" w:fill="FFFFFF"/>
                <w:lang w:bidi="ar"/>
              </w:rPr>
              <w:t>2</w:t>
            </w:r>
          </w:p>
          <w:p w14:paraId="3E5767F9">
            <w:pPr>
              <w:spacing w:line="240" w:lineRule="auto"/>
              <w:jc w:val="center"/>
              <w:rPr>
                <w:rFonts w:hint="eastAsia" w:ascii="方正仿宋_GBK" w:hAnsi="方正仿宋_GBK" w:eastAsia="方正仿宋_GBK" w:cs="方正仿宋_GBK"/>
                <w:i w:val="0"/>
                <w:iCs w:val="0"/>
                <w:color w:val="000000"/>
                <w:kern w:val="0"/>
                <w:sz w:val="30"/>
                <w:szCs w:val="30"/>
                <w:u w:val="none"/>
                <w:lang w:val="en-US" w:eastAsia="zh-CN" w:bidi="ar"/>
              </w:rPr>
            </w:pPr>
            <w:r>
              <w:rPr>
                <w:rFonts w:hint="eastAsia" w:ascii="方正仿宋_GBK" w:hAnsi="方正仿宋_GBK" w:eastAsia="方正仿宋_GBK" w:cs="方正仿宋_GBK"/>
                <w:kern w:val="0"/>
                <w:sz w:val="30"/>
                <w:szCs w:val="30"/>
                <w:shd w:val="clear" w:color="auto" w:fill="FFFFFF"/>
                <w:lang w:bidi="ar"/>
              </w:rPr>
              <w:t>GB 17625.1-2012</w:t>
            </w:r>
          </w:p>
        </w:tc>
      </w:tr>
    </w:tbl>
    <w:p w14:paraId="587A7C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C729C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61A37CB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8278F4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04C4D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48A9F1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GB4706.</w:t>
      </w:r>
      <w:r>
        <w:rPr>
          <w:rFonts w:hint="eastAsia" w:ascii="方正仿宋_GBK" w:hAnsi="方正仿宋_GBK" w:eastAsia="方正仿宋_GBK" w:cs="方正仿宋_GBK"/>
          <w:sz w:val="32"/>
          <w:szCs w:val="32"/>
          <w:lang w:val="en-US" w:eastAsia="zh-CN"/>
        </w:rPr>
        <w:t>13</w:t>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lang w:val="en-US" w:eastAsia="zh-CN"/>
        </w:rPr>
        <w:t>14</w:t>
      </w:r>
      <w:r>
        <w:rPr>
          <w:rFonts w:hint="eastAsia" w:ascii="方正仿宋_GBK" w:hAnsi="方正仿宋_GBK" w:eastAsia="方正仿宋_GBK" w:cs="方正仿宋_GBK"/>
          <w:sz w:val="32"/>
          <w:szCs w:val="32"/>
        </w:rPr>
        <w:t>《</w:t>
      </w:r>
      <w:r>
        <w:rPr>
          <w:rFonts w:hint="default" w:ascii="方正仿宋_GBK" w:hAnsi="方正仿宋_GBK" w:eastAsia="方正仿宋_GBK" w:cs="方正仿宋_GBK"/>
          <w:sz w:val="32"/>
          <w:szCs w:val="32"/>
          <w:lang w:val="en-US" w:eastAsia="zh-CN"/>
        </w:rPr>
        <w:t>家用和类似用途电器的安全　制冷器具、冰淇淋机和制冰机的特殊要求</w:t>
      </w:r>
      <w:r>
        <w:rPr>
          <w:rFonts w:hint="eastAsia" w:ascii="方正仿宋_GBK" w:hAnsi="方正仿宋_GBK" w:eastAsia="方正仿宋_GBK" w:cs="方正仿宋_GBK"/>
          <w:sz w:val="32"/>
          <w:szCs w:val="32"/>
        </w:rPr>
        <w:t>》；</w:t>
      </w:r>
    </w:p>
    <w:p w14:paraId="2C8985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8059-2016</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家用和类似用途制冷器具》；</w:t>
      </w:r>
    </w:p>
    <w:p w14:paraId="00597FE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50" w:lineRule="atLeast"/>
        <w:ind w:left="0" w:right="0" w:firstLine="640" w:firstLineChars="200"/>
        <w:rPr>
          <w:rFonts w:hint="eastAsia" w:ascii="方正仿宋_GBK" w:hAnsi="方正仿宋_GBK" w:eastAsia="方正仿宋_GBK" w:cs="方正仿宋_GBK"/>
          <w:sz w:val="32"/>
          <w:szCs w:val="32"/>
        </w:rPr>
      </w:pPr>
      <w:r>
        <w:rPr>
          <w:rFonts w:hint="default" w:ascii="方正仿宋_GBK" w:hAnsi="方正仿宋_GBK" w:eastAsia="方正仿宋_GBK" w:cs="方正仿宋_GBK"/>
          <w:b w:val="0"/>
          <w:bCs w:val="0"/>
          <w:color w:val="auto"/>
          <w:kern w:val="2"/>
          <w:sz w:val="32"/>
          <w:szCs w:val="32"/>
          <w:lang w:val="en-US" w:eastAsia="zh-CN" w:bidi="ar-SA"/>
        </w:rPr>
        <w:t>GB 12021.2-2015</w:t>
      </w:r>
      <w:r>
        <w:rPr>
          <w:rFonts w:hint="eastAsia" w:ascii="方正仿宋_GBK" w:hAnsi="方正仿宋_GBK" w:eastAsia="方正仿宋_GBK" w:cs="方正仿宋_GBK"/>
          <w:b w:val="0"/>
          <w:bCs w:val="0"/>
          <w:color w:val="auto"/>
          <w:kern w:val="2"/>
          <w:sz w:val="32"/>
          <w:szCs w:val="32"/>
          <w:lang w:val="en-US" w:eastAsia="zh-CN" w:bidi="ar-SA"/>
        </w:rPr>
        <w:t>《</w:t>
      </w:r>
      <w:r>
        <w:rPr>
          <w:rFonts w:hint="default" w:ascii="方正仿宋_GBK" w:hAnsi="方正仿宋_GBK" w:eastAsia="方正仿宋_GBK" w:cs="方正仿宋_GBK"/>
          <w:b w:val="0"/>
          <w:bCs w:val="0"/>
          <w:color w:val="auto"/>
          <w:kern w:val="2"/>
          <w:sz w:val="32"/>
          <w:szCs w:val="32"/>
          <w:lang w:val="en-US" w:eastAsia="zh-CN" w:bidi="ar-SA"/>
        </w:rPr>
        <w:t>家用电冰箱耗电量限定值及能效等级</w:t>
      </w:r>
      <w:r>
        <w:rPr>
          <w:rFonts w:hint="eastAsia" w:ascii="方正仿宋_GBK" w:hAnsi="方正仿宋_GBK" w:eastAsia="方正仿宋_GBK" w:cs="方正仿宋_GBK"/>
          <w:b w:val="0"/>
          <w:bCs w:val="0"/>
          <w:color w:val="auto"/>
          <w:kern w:val="2"/>
          <w:sz w:val="32"/>
          <w:szCs w:val="32"/>
          <w:lang w:val="en-US" w:eastAsia="zh-CN" w:bidi="ar-SA"/>
        </w:rPr>
        <w:t>》</w:t>
      </w:r>
      <w:r>
        <w:rPr>
          <w:rFonts w:hint="eastAsia" w:ascii="方正仿宋_GBK" w:hAnsi="方正仿宋_GBK" w:eastAsia="方正仿宋_GBK" w:cs="方正仿宋_GBK"/>
          <w:sz w:val="32"/>
          <w:szCs w:val="32"/>
        </w:rPr>
        <w:t>；</w:t>
      </w:r>
    </w:p>
    <w:p w14:paraId="04D17B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32F3DB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BB0DE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17625.1-2012《电磁兼容限值谐波电流发射限值(设备每相输入电流≤16A)》；</w:t>
      </w:r>
    </w:p>
    <w:p w14:paraId="172B33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D92DB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BFD7532">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7E92E4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008F9F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9D323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21217F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0BEA2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B1238F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821686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33DAF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1574A1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3CE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084A545">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DC216">
    <w:pPr>
      <w:pStyle w:val="7"/>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E6E64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6E6E641">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2762">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1098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401098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72EE5">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2FB76C8"/>
    <w:rsid w:val="031943E4"/>
    <w:rsid w:val="033A014E"/>
    <w:rsid w:val="05D24EFE"/>
    <w:rsid w:val="06DE5BB2"/>
    <w:rsid w:val="07672914"/>
    <w:rsid w:val="077F7679"/>
    <w:rsid w:val="07BF3F65"/>
    <w:rsid w:val="07F50FE7"/>
    <w:rsid w:val="07FD5AEF"/>
    <w:rsid w:val="087661EC"/>
    <w:rsid w:val="097537AA"/>
    <w:rsid w:val="0B270AD4"/>
    <w:rsid w:val="0CFA1423"/>
    <w:rsid w:val="0DDA7DB6"/>
    <w:rsid w:val="0F1C4CFF"/>
    <w:rsid w:val="0F8B7910"/>
    <w:rsid w:val="0FCF7CD7"/>
    <w:rsid w:val="0FDBD46C"/>
    <w:rsid w:val="0FDE2F82"/>
    <w:rsid w:val="0FE7E3B3"/>
    <w:rsid w:val="0FF1F824"/>
    <w:rsid w:val="10750B8D"/>
    <w:rsid w:val="108750D2"/>
    <w:rsid w:val="12495675"/>
    <w:rsid w:val="135FA0BA"/>
    <w:rsid w:val="157A1825"/>
    <w:rsid w:val="159F1815"/>
    <w:rsid w:val="15BFD474"/>
    <w:rsid w:val="169F9BF9"/>
    <w:rsid w:val="16E21CB9"/>
    <w:rsid w:val="16FB0492"/>
    <w:rsid w:val="17B79E71"/>
    <w:rsid w:val="17B7B7BA"/>
    <w:rsid w:val="17D51E8A"/>
    <w:rsid w:val="17EEF9D1"/>
    <w:rsid w:val="17FDD55A"/>
    <w:rsid w:val="18036126"/>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6829DF"/>
    <w:rsid w:val="22B6F9AE"/>
    <w:rsid w:val="237F2682"/>
    <w:rsid w:val="23E7B3DB"/>
    <w:rsid w:val="249D42E2"/>
    <w:rsid w:val="24E848A1"/>
    <w:rsid w:val="25AD4C1F"/>
    <w:rsid w:val="26B0369A"/>
    <w:rsid w:val="273051AC"/>
    <w:rsid w:val="27D7CCBF"/>
    <w:rsid w:val="27EFC50A"/>
    <w:rsid w:val="27FDBB8D"/>
    <w:rsid w:val="29372E08"/>
    <w:rsid w:val="29395066"/>
    <w:rsid w:val="29CF5C0C"/>
    <w:rsid w:val="2A560303"/>
    <w:rsid w:val="2AFEB808"/>
    <w:rsid w:val="2AFF640F"/>
    <w:rsid w:val="2B4C06CC"/>
    <w:rsid w:val="2B5F00AC"/>
    <w:rsid w:val="2B711D54"/>
    <w:rsid w:val="2BD2A7D3"/>
    <w:rsid w:val="2C4B9764"/>
    <w:rsid w:val="2C794349"/>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E06CB4"/>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1EF5F27"/>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6A5A9E"/>
    <w:rsid w:val="4E91314E"/>
    <w:rsid w:val="4E9FB034"/>
    <w:rsid w:val="4EFED12E"/>
    <w:rsid w:val="4F9B10F5"/>
    <w:rsid w:val="4FDC8063"/>
    <w:rsid w:val="4FDFCB68"/>
    <w:rsid w:val="4FF36028"/>
    <w:rsid w:val="4FFC58EC"/>
    <w:rsid w:val="509F1015"/>
    <w:rsid w:val="50FA4494"/>
    <w:rsid w:val="5127DED4"/>
    <w:rsid w:val="51667FE7"/>
    <w:rsid w:val="51807A64"/>
    <w:rsid w:val="526F000F"/>
    <w:rsid w:val="52AC1DB3"/>
    <w:rsid w:val="52F87888"/>
    <w:rsid w:val="53AB5695"/>
    <w:rsid w:val="53B24764"/>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C97667"/>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A22722"/>
    <w:rsid w:val="70DFFBA6"/>
    <w:rsid w:val="70EE8021"/>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44093A"/>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6"/>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2">
    <w:name w:val="Default Paragraph Font"/>
    <w:autoRedefine/>
    <w:unhideWhenUsed/>
    <w:qFormat/>
    <w:uiPriority w:val="1"/>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napToGrid w:val="0"/>
      <w:spacing w:line="440" w:lineRule="exact"/>
    </w:pPr>
    <w:rPr>
      <w:rFonts w:ascii="宋体" w:hAnsi="宋体"/>
      <w:color w:val="FF0000"/>
      <w:sz w:val="18"/>
    </w:rPr>
  </w:style>
  <w:style w:type="paragraph" w:styleId="5">
    <w:name w:val="annotation text"/>
    <w:basedOn w:val="1"/>
    <w:link w:val="51"/>
    <w:autoRedefine/>
    <w:semiHidden/>
    <w:qFormat/>
    <w:uiPriority w:val="99"/>
    <w:pPr>
      <w:jc w:val="left"/>
    </w:pPr>
  </w:style>
  <w:style w:type="paragraph" w:styleId="6">
    <w:name w:val="Balloon Text"/>
    <w:basedOn w:val="1"/>
    <w:link w:val="49"/>
    <w:autoRedefine/>
    <w:semiHidden/>
    <w:qFormat/>
    <w:uiPriority w:val="99"/>
    <w:rPr>
      <w:sz w:val="18"/>
      <w:szCs w:val="18"/>
    </w:rPr>
  </w:style>
  <w:style w:type="paragraph" w:styleId="7">
    <w:name w:val="footer"/>
    <w:basedOn w:val="1"/>
    <w:link w:val="53"/>
    <w:autoRedefine/>
    <w:qFormat/>
    <w:uiPriority w:val="99"/>
    <w:pPr>
      <w:tabs>
        <w:tab w:val="center" w:pos="4153"/>
        <w:tab w:val="right" w:pos="8306"/>
      </w:tabs>
      <w:snapToGrid w:val="0"/>
      <w:jc w:val="left"/>
    </w:pPr>
    <w:rPr>
      <w:sz w:val="18"/>
      <w:szCs w:val="18"/>
    </w:rPr>
  </w:style>
  <w:style w:type="paragraph" w:styleId="8">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52"/>
    <w:autoRedefine/>
    <w:semiHidden/>
    <w:qFormat/>
    <w:uiPriority w:val="99"/>
    <w:rPr>
      <w:b/>
      <w:bCs/>
    </w:rPr>
  </w:style>
  <w:style w:type="table" w:styleId="11">
    <w:name w:val="Table Grid"/>
    <w:basedOn w:val="1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99"/>
    <w:rPr>
      <w:b/>
      <w:bCs/>
    </w:rPr>
  </w:style>
  <w:style w:type="character" w:styleId="14">
    <w:name w:val="page number"/>
    <w:basedOn w:val="12"/>
    <w:autoRedefine/>
    <w:qFormat/>
    <w:uiPriority w:val="99"/>
  </w:style>
  <w:style w:type="character" w:styleId="15">
    <w:name w:val="FollowedHyperlink"/>
    <w:basedOn w:val="12"/>
    <w:autoRedefine/>
    <w:qFormat/>
    <w:uiPriority w:val="99"/>
    <w:rPr>
      <w:color w:val="auto"/>
      <w:u w:val="none"/>
    </w:rPr>
  </w:style>
  <w:style w:type="character" w:styleId="16">
    <w:name w:val="Emphasis"/>
    <w:basedOn w:val="12"/>
    <w:autoRedefine/>
    <w:qFormat/>
    <w:uiPriority w:val="99"/>
    <w:rPr>
      <w:i/>
      <w:iCs/>
    </w:rPr>
  </w:style>
  <w:style w:type="character" w:styleId="17">
    <w:name w:val="HTML Definition"/>
    <w:basedOn w:val="12"/>
    <w:autoRedefine/>
    <w:qFormat/>
    <w:uiPriority w:val="99"/>
  </w:style>
  <w:style w:type="character" w:styleId="18">
    <w:name w:val="HTML Acronym"/>
    <w:basedOn w:val="12"/>
    <w:autoRedefine/>
    <w:qFormat/>
    <w:uiPriority w:val="99"/>
  </w:style>
  <w:style w:type="character" w:styleId="19">
    <w:name w:val="HTML Variable"/>
    <w:basedOn w:val="12"/>
    <w:autoRedefine/>
    <w:qFormat/>
    <w:uiPriority w:val="99"/>
  </w:style>
  <w:style w:type="character" w:styleId="20">
    <w:name w:val="Hyperlink"/>
    <w:basedOn w:val="12"/>
    <w:autoRedefine/>
    <w:qFormat/>
    <w:uiPriority w:val="99"/>
    <w:rPr>
      <w:color w:val="auto"/>
      <w:u w:val="none"/>
    </w:rPr>
  </w:style>
  <w:style w:type="character" w:styleId="21">
    <w:name w:val="HTML Code"/>
    <w:basedOn w:val="12"/>
    <w:autoRedefine/>
    <w:qFormat/>
    <w:uiPriority w:val="99"/>
    <w:rPr>
      <w:rFonts w:ascii="monospace" w:hAnsi="monospace" w:eastAsia="Times New Roman" w:cs="monospace"/>
      <w:sz w:val="24"/>
      <w:szCs w:val="24"/>
    </w:rPr>
  </w:style>
  <w:style w:type="character" w:styleId="22">
    <w:name w:val="annotation reference"/>
    <w:basedOn w:val="12"/>
    <w:autoRedefine/>
    <w:semiHidden/>
    <w:qFormat/>
    <w:uiPriority w:val="99"/>
    <w:rPr>
      <w:sz w:val="21"/>
      <w:szCs w:val="21"/>
    </w:rPr>
  </w:style>
  <w:style w:type="character" w:styleId="23">
    <w:name w:val="HTML Cite"/>
    <w:basedOn w:val="12"/>
    <w:autoRedefine/>
    <w:qFormat/>
    <w:uiPriority w:val="99"/>
  </w:style>
  <w:style w:type="character" w:styleId="24">
    <w:name w:val="HTML Keyboard"/>
    <w:basedOn w:val="12"/>
    <w:autoRedefine/>
    <w:qFormat/>
    <w:uiPriority w:val="99"/>
    <w:rPr>
      <w:rFonts w:ascii="monospace" w:hAnsi="monospace" w:eastAsia="Times New Roman" w:cs="monospace"/>
      <w:sz w:val="24"/>
      <w:szCs w:val="24"/>
    </w:rPr>
  </w:style>
  <w:style w:type="character" w:styleId="25">
    <w:name w:val="HTML Sample"/>
    <w:basedOn w:val="12"/>
    <w:autoRedefine/>
    <w:qFormat/>
    <w:uiPriority w:val="99"/>
    <w:rPr>
      <w:rFonts w:ascii="monospace" w:hAnsi="monospace" w:eastAsia="Times New Roman" w:cs="monospace"/>
      <w:sz w:val="24"/>
      <w:szCs w:val="24"/>
    </w:rPr>
  </w:style>
  <w:style w:type="character" w:customStyle="1" w:styleId="26">
    <w:name w:val="标题 1 Char"/>
    <w:basedOn w:val="12"/>
    <w:link w:val="3"/>
    <w:autoRedefine/>
    <w:qFormat/>
    <w:uiPriority w:val="9"/>
    <w:rPr>
      <w:b/>
      <w:bCs/>
      <w:kern w:val="44"/>
      <w:sz w:val="44"/>
      <w:szCs w:val="44"/>
    </w:rPr>
  </w:style>
  <w:style w:type="character" w:customStyle="1" w:styleId="27">
    <w:name w:val="bds_more1"/>
    <w:basedOn w:val="12"/>
    <w:autoRedefine/>
    <w:qFormat/>
    <w:uiPriority w:val="99"/>
  </w:style>
  <w:style w:type="character" w:customStyle="1" w:styleId="28">
    <w:name w:val="org_name2"/>
    <w:basedOn w:val="12"/>
    <w:autoRedefine/>
    <w:qFormat/>
    <w:uiPriority w:val="99"/>
  </w:style>
  <w:style w:type="character" w:customStyle="1" w:styleId="29">
    <w:name w:val="no5"/>
    <w:basedOn w:val="12"/>
    <w:autoRedefine/>
    <w:qFormat/>
    <w:uiPriority w:val="99"/>
  </w:style>
  <w:style w:type="character" w:customStyle="1" w:styleId="30">
    <w:name w:val="Comment Text Char"/>
    <w:basedOn w:val="12"/>
    <w:autoRedefine/>
    <w:qFormat/>
    <w:locked/>
    <w:uiPriority w:val="99"/>
    <w:rPr>
      <w:kern w:val="2"/>
      <w:sz w:val="24"/>
      <w:szCs w:val="24"/>
    </w:rPr>
  </w:style>
  <w:style w:type="character" w:customStyle="1" w:styleId="31">
    <w:name w:val="bds_nopic"/>
    <w:basedOn w:val="12"/>
    <w:autoRedefine/>
    <w:qFormat/>
    <w:uiPriority w:val="99"/>
  </w:style>
  <w:style w:type="character" w:customStyle="1" w:styleId="32">
    <w:name w:val="bds_more"/>
    <w:basedOn w:val="12"/>
    <w:autoRedefine/>
    <w:qFormat/>
    <w:uiPriority w:val="99"/>
  </w:style>
  <w:style w:type="character" w:customStyle="1" w:styleId="33">
    <w:name w:val="ui-bz-bg-hover"/>
    <w:basedOn w:val="12"/>
    <w:autoRedefine/>
    <w:qFormat/>
    <w:uiPriority w:val="99"/>
    <w:rPr>
      <w:shd w:val="clear" w:color="auto" w:fill="000000"/>
    </w:rPr>
  </w:style>
  <w:style w:type="character" w:customStyle="1" w:styleId="34">
    <w:name w:val="f-star"/>
    <w:basedOn w:val="12"/>
    <w:autoRedefine/>
    <w:qFormat/>
    <w:uiPriority w:val="99"/>
    <w:rPr>
      <w:color w:val="auto"/>
      <w:sz w:val="21"/>
      <w:szCs w:val="21"/>
    </w:rPr>
  </w:style>
  <w:style w:type="character" w:customStyle="1" w:styleId="35">
    <w:name w:val="ui-bz-bg-hover1"/>
    <w:basedOn w:val="12"/>
    <w:autoRedefine/>
    <w:qFormat/>
    <w:uiPriority w:val="99"/>
  </w:style>
  <w:style w:type="character" w:customStyle="1" w:styleId="36">
    <w:name w:val="my-class2"/>
    <w:basedOn w:val="12"/>
    <w:autoRedefine/>
    <w:qFormat/>
    <w:uiPriority w:val="99"/>
  </w:style>
  <w:style w:type="character" w:customStyle="1" w:styleId="37">
    <w:name w:val="orange"/>
    <w:basedOn w:val="12"/>
    <w:autoRedefine/>
    <w:qFormat/>
    <w:uiPriority w:val="99"/>
    <w:rPr>
      <w:color w:val="auto"/>
    </w:rPr>
  </w:style>
  <w:style w:type="character" w:customStyle="1" w:styleId="38">
    <w:name w:val="no42"/>
    <w:basedOn w:val="12"/>
    <w:autoRedefine/>
    <w:qFormat/>
    <w:uiPriority w:val="99"/>
  </w:style>
  <w:style w:type="character" w:customStyle="1" w:styleId="39">
    <w:name w:val="bds_nopic2"/>
    <w:basedOn w:val="12"/>
    <w:autoRedefine/>
    <w:qFormat/>
    <w:uiPriority w:val="99"/>
  </w:style>
  <w:style w:type="character" w:customStyle="1" w:styleId="40">
    <w:name w:val="no72"/>
    <w:basedOn w:val="12"/>
    <w:autoRedefine/>
    <w:qFormat/>
    <w:uiPriority w:val="99"/>
  </w:style>
  <w:style w:type="character" w:customStyle="1" w:styleId="41">
    <w:name w:val="tip"/>
    <w:basedOn w:val="12"/>
    <w:autoRedefine/>
    <w:qFormat/>
    <w:uiPriority w:val="99"/>
    <w:rPr>
      <w:vanish/>
      <w:color w:val="FF0000"/>
      <w:sz w:val="18"/>
      <w:szCs w:val="18"/>
    </w:rPr>
  </w:style>
  <w:style w:type="character" w:customStyle="1" w:styleId="42">
    <w:name w:val="bds_nopic1"/>
    <w:basedOn w:val="12"/>
    <w:autoRedefine/>
    <w:qFormat/>
    <w:uiPriority w:val="99"/>
  </w:style>
  <w:style w:type="character" w:customStyle="1" w:styleId="43">
    <w:name w:val="no62"/>
    <w:basedOn w:val="12"/>
    <w:autoRedefine/>
    <w:qFormat/>
    <w:uiPriority w:val="99"/>
  </w:style>
  <w:style w:type="character" w:customStyle="1" w:styleId="44">
    <w:name w:val="my-notice1"/>
    <w:basedOn w:val="12"/>
    <w:autoRedefine/>
    <w:qFormat/>
    <w:uiPriority w:val="99"/>
  </w:style>
  <w:style w:type="character" w:customStyle="1" w:styleId="45">
    <w:name w:val="Comment Subject Char"/>
    <w:basedOn w:val="30"/>
    <w:autoRedefine/>
    <w:qFormat/>
    <w:locked/>
    <w:uiPriority w:val="99"/>
    <w:rPr>
      <w:b/>
      <w:bCs/>
      <w:kern w:val="2"/>
      <w:sz w:val="24"/>
      <w:szCs w:val="24"/>
    </w:rPr>
  </w:style>
  <w:style w:type="character" w:customStyle="1" w:styleId="46">
    <w:name w:val="top-icon"/>
    <w:basedOn w:val="12"/>
    <w:autoRedefine/>
    <w:qFormat/>
    <w:uiPriority w:val="99"/>
  </w:style>
  <w:style w:type="character" w:customStyle="1" w:styleId="47">
    <w:name w:val="t-tag"/>
    <w:basedOn w:val="12"/>
    <w:autoRedefine/>
    <w:qFormat/>
    <w:uiPriority w:val="99"/>
    <w:rPr>
      <w:color w:val="FFFFFF"/>
      <w:sz w:val="18"/>
      <w:szCs w:val="18"/>
      <w:shd w:val="clear" w:color="auto" w:fill="auto"/>
    </w:rPr>
  </w:style>
  <w:style w:type="character" w:customStyle="1" w:styleId="48">
    <w:name w:val="Balloon Text Char"/>
    <w:basedOn w:val="12"/>
    <w:autoRedefine/>
    <w:qFormat/>
    <w:locked/>
    <w:uiPriority w:val="99"/>
    <w:rPr>
      <w:kern w:val="2"/>
      <w:sz w:val="18"/>
      <w:szCs w:val="18"/>
    </w:rPr>
  </w:style>
  <w:style w:type="character" w:customStyle="1" w:styleId="49">
    <w:name w:val="批注框文本 Char"/>
    <w:basedOn w:val="12"/>
    <w:link w:val="6"/>
    <w:autoRedefine/>
    <w:semiHidden/>
    <w:qFormat/>
    <w:uiPriority w:val="99"/>
    <w:rPr>
      <w:sz w:val="0"/>
      <w:szCs w:val="0"/>
    </w:rPr>
  </w:style>
  <w:style w:type="character" w:customStyle="1" w:styleId="50">
    <w:name w:val="页眉 Char"/>
    <w:basedOn w:val="12"/>
    <w:link w:val="8"/>
    <w:autoRedefine/>
    <w:semiHidden/>
    <w:qFormat/>
    <w:uiPriority w:val="99"/>
    <w:rPr>
      <w:sz w:val="18"/>
      <w:szCs w:val="18"/>
    </w:rPr>
  </w:style>
  <w:style w:type="character" w:customStyle="1" w:styleId="51">
    <w:name w:val="批注文字 Char"/>
    <w:basedOn w:val="12"/>
    <w:link w:val="5"/>
    <w:autoRedefine/>
    <w:semiHidden/>
    <w:qFormat/>
    <w:uiPriority w:val="99"/>
    <w:rPr>
      <w:szCs w:val="21"/>
    </w:rPr>
  </w:style>
  <w:style w:type="character" w:customStyle="1" w:styleId="52">
    <w:name w:val="批注主题 Char"/>
    <w:basedOn w:val="30"/>
    <w:link w:val="9"/>
    <w:autoRedefine/>
    <w:semiHidden/>
    <w:qFormat/>
    <w:uiPriority w:val="99"/>
    <w:rPr>
      <w:b/>
      <w:bCs/>
      <w:kern w:val="2"/>
      <w:sz w:val="24"/>
      <w:szCs w:val="21"/>
    </w:rPr>
  </w:style>
  <w:style w:type="character" w:customStyle="1" w:styleId="53">
    <w:name w:val="页脚 Char"/>
    <w:basedOn w:val="12"/>
    <w:link w:val="7"/>
    <w:autoRedefine/>
    <w:semiHidden/>
    <w:qFormat/>
    <w:uiPriority w:val="99"/>
    <w:rPr>
      <w:sz w:val="18"/>
      <w:szCs w:val="18"/>
    </w:rPr>
  </w:style>
  <w:style w:type="paragraph" w:customStyle="1" w:styleId="54">
    <w:name w:val="Char"/>
    <w:basedOn w:val="1"/>
    <w:autoRedefine/>
    <w:qFormat/>
    <w:uiPriority w:val="99"/>
    <w:pPr>
      <w:widowControl/>
      <w:spacing w:after="160" w:line="240" w:lineRule="exact"/>
      <w:jc w:val="left"/>
    </w:pPr>
  </w:style>
  <w:style w:type="paragraph" w:customStyle="1" w:styleId="55">
    <w:name w:val="Char1"/>
    <w:basedOn w:val="1"/>
    <w:autoRedefine/>
    <w:qFormat/>
    <w:uiPriority w:val="99"/>
    <w:pPr>
      <w:widowControl/>
      <w:spacing w:after="160" w:line="240" w:lineRule="exact"/>
      <w:jc w:val="left"/>
    </w:pPr>
  </w:style>
  <w:style w:type="paragraph" w:customStyle="1" w:styleId="56">
    <w:name w:val="Table Paragraph"/>
    <w:basedOn w:val="1"/>
    <w:autoRedefine/>
    <w:qFormat/>
    <w:uiPriority w:val="1"/>
    <w:pPr>
      <w:jc w:val="left"/>
    </w:pPr>
    <w:rPr>
      <w:rFonts w:ascii="Calibri" w:hAnsi="Calibri"/>
      <w:kern w:val="0"/>
      <w:sz w:val="22"/>
      <w:szCs w:val="22"/>
      <w:lang w:eastAsia="en-US"/>
    </w:rPr>
  </w:style>
  <w:style w:type="paragraph" w:customStyle="1" w:styleId="57">
    <w:name w:val="Table Text"/>
    <w:basedOn w:val="1"/>
    <w:autoRedefine/>
    <w:semiHidden/>
    <w:qFormat/>
    <w:uiPriority w:val="0"/>
    <w:rPr>
      <w:rFonts w:ascii="宋体" w:hAnsi="宋体" w:eastAsia="宋体" w:cs="宋体"/>
      <w:sz w:val="20"/>
      <w:szCs w:val="20"/>
      <w:lang w:val="en-US" w:eastAsia="en-US" w:bidi="ar-SA"/>
    </w:rPr>
  </w:style>
  <w:style w:type="character" w:customStyle="1" w:styleId="58">
    <w:name w:val="font21"/>
    <w:basedOn w:val="12"/>
    <w:qFormat/>
    <w:uiPriority w:val="0"/>
    <w:rPr>
      <w:rFonts w:hint="eastAsia" w:ascii="宋体" w:hAnsi="宋体" w:eastAsia="宋体" w:cs="宋体"/>
      <w:color w:val="000000"/>
      <w:sz w:val="18"/>
      <w:szCs w:val="18"/>
      <w:u w:val="none"/>
    </w:rPr>
  </w:style>
  <w:style w:type="character" w:customStyle="1" w:styleId="59">
    <w:name w:val="font51"/>
    <w:basedOn w:val="12"/>
    <w:qFormat/>
    <w:uiPriority w:val="0"/>
    <w:rPr>
      <w:rFonts w:hint="eastAsia" w:ascii="宋体" w:hAnsi="宋体" w:eastAsia="宋体" w:cs="宋体"/>
      <w:b/>
      <w:bCs/>
      <w:color w:val="FF0000"/>
      <w:sz w:val="18"/>
      <w:szCs w:val="18"/>
      <w:u w:val="none"/>
    </w:rPr>
  </w:style>
  <w:style w:type="paragraph" w:customStyle="1" w:styleId="60">
    <w:name w:val="列出段落1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1438</Words>
  <Characters>2352</Characters>
  <Lines>26</Lines>
  <Paragraphs>7</Paragraphs>
  <TotalTime>0</TotalTime>
  <ScaleCrop>false</ScaleCrop>
  <LinksUpToDate>false</LinksUpToDate>
  <CharactersWithSpaces>2746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2025-04-25T01:00:41Z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66DE1BB7649B49099F2011B6C1820375_13</vt:lpwstr>
  </property>
  <property fmtid="{D5CDD505-2E9C-101B-9397-08002B2CF9AE}" pid="4" name="KSOTemplateDocerSaveRecord">
    <vt:lpwstr>eyJoZGlkIjoiN2JmYWVhZDIzYTE2NzI3MDQyNGQ1MTY2OTc1M2UxNDMiLCJ1c2VySWQiOiI1NDg3MDIzNTgifQ==</vt:lpwstr>
  </property>
</Properties>
</file>