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80" w:lineRule="exact"/>
        <w:ind w:firstLine="440" w:firstLineChars="100"/>
        <w:jc w:val="both"/>
        <w:rPr>
          <w:rFonts w:ascii="方正小标宋_GBK" w:hAnsi="方正小标宋_GBK" w:eastAsia="方正小标宋_GBK" w:cs="方正小标宋_GBK"/>
          <w:color w:val="000000"/>
          <w:sz w:val="44"/>
          <w:szCs w:val="44"/>
        </w:rPr>
      </w:pPr>
      <w:bookmarkStart w:id="1" w:name="_GoBack"/>
      <w:bookmarkEnd w:id="1"/>
      <w:r>
        <w:rPr>
          <w:rFonts w:hint="eastAsia" w:ascii="方正小标宋_GBK" w:hAnsi="方正小标宋_GBK" w:eastAsia="方正小标宋_GBK" w:cs="方正小标宋_GBK"/>
          <w:color w:val="000000"/>
          <w:sz w:val="44"/>
          <w:szCs w:val="44"/>
        </w:rPr>
        <w:t>南通市学生公寓床上用品产品质量监督</w:t>
      </w:r>
    </w:p>
    <w:p>
      <w:pPr>
        <w:snapToGrid w:val="0"/>
        <w:spacing w:line="58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抽查实施细则</w:t>
      </w:r>
    </w:p>
    <w:p>
      <w:pPr>
        <w:snapToGrid w:val="0"/>
        <w:spacing w:line="58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（2025年版）</w:t>
      </w:r>
    </w:p>
    <w:p>
      <w:pPr>
        <w:spacing w:line="600" w:lineRule="exact"/>
        <w:ind w:firstLine="640" w:firstLineChars="200"/>
        <w:rPr>
          <w:rFonts w:ascii="方正黑体_GBK" w:hAnsi="方正黑体_GBK" w:eastAsia="方正黑体_GBK" w:cs="方正黑体_GBK"/>
          <w:kern w:val="0"/>
          <w:sz w:val="32"/>
          <w:szCs w:val="32"/>
          <w:shd w:val="clear" w:color="auto" w:fill="FFFFFF"/>
          <w:lang w:bidi="ar"/>
        </w:rPr>
      </w:pPr>
      <w:r>
        <w:rPr>
          <w:rFonts w:hint="eastAsia" w:ascii="方正黑体_GBK" w:hAnsi="方正黑体_GBK" w:eastAsia="方正黑体_GBK" w:cs="方正黑体_GBK"/>
          <w:bCs/>
          <w:sz w:val="32"/>
          <w:szCs w:val="32"/>
        </w:rPr>
        <w:t>1.</w:t>
      </w:r>
      <w:r>
        <w:rPr>
          <w:rFonts w:hint="eastAsia" w:ascii="方正黑体_GBK" w:hAnsi="方正黑体_GBK" w:eastAsia="方正黑体_GBK" w:cs="方正黑体_GBK"/>
          <w:kern w:val="0"/>
          <w:sz w:val="32"/>
          <w:szCs w:val="32"/>
          <w:shd w:val="clear" w:color="auto" w:fill="FFFFFF"/>
          <w:lang w:bidi="ar"/>
        </w:rPr>
        <w:t>范围</w:t>
      </w:r>
    </w:p>
    <w:p>
      <w:pPr>
        <w:spacing w:line="600" w:lineRule="exact"/>
        <w:ind w:firstLine="640" w:firstLineChars="200"/>
        <w:rPr>
          <w:rFonts w:ascii="仿宋_GB2312" w:hAnsi="宋体" w:eastAsia="仿宋_GB2312"/>
          <w:sz w:val="30"/>
          <w:szCs w:val="32"/>
        </w:rPr>
      </w:pPr>
      <w:r>
        <w:rPr>
          <w:rFonts w:hint="eastAsia" w:ascii="方正仿宋_GBK" w:hAnsi="方正仿宋_GBK" w:eastAsia="方正仿宋_GBK" w:cs="方正仿宋_GBK"/>
          <w:sz w:val="32"/>
          <w:szCs w:val="32"/>
        </w:rPr>
        <w:t>本细则适用于南通市市场监督管理局组织的学生公寓床上用品产品质量监督抽查检验。本细则规定了此产品的抽样方法、检验依据、检验项目、检验方法、判定原则、异议处理及复检。</w:t>
      </w:r>
    </w:p>
    <w:p>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2.抽样方法</w:t>
      </w:r>
    </w:p>
    <w:p>
      <w:pPr>
        <w:spacing w:line="600" w:lineRule="exact"/>
        <w:ind w:firstLine="640" w:firstLineChars="200"/>
        <w:rPr>
          <w:rFonts w:ascii="方正仿宋_GBK" w:hAnsi="Times New Roman" w:eastAsia="方正仿宋_GBK"/>
          <w:b/>
          <w:bCs/>
          <w:kern w:val="0"/>
          <w:sz w:val="32"/>
          <w:szCs w:val="32"/>
          <w:shd w:val="clear" w:color="auto" w:fill="FFFFFF"/>
          <w:lang w:bidi="ar"/>
        </w:rPr>
      </w:pPr>
      <w:r>
        <w:rPr>
          <w:rFonts w:hint="eastAsia" w:ascii="方正黑体_GBK" w:hAnsi="宋体" w:eastAsia="方正黑体_GBK" w:cs="宋体"/>
          <w:bCs/>
          <w:sz w:val="32"/>
          <w:szCs w:val="32"/>
        </w:rPr>
        <w:t>实体店抽样</w:t>
      </w:r>
      <w:r>
        <w:rPr>
          <w:rFonts w:hint="eastAsia" w:ascii="方正黑体_GBK" w:hAnsi="宋体" w:eastAsia="方正黑体_GBK" w:cs="宋体"/>
          <w:bCs/>
          <w:sz w:val="32"/>
          <w:szCs w:val="32"/>
          <w:lang w:eastAsia="zh-CN"/>
        </w:rPr>
        <w:t>：</w:t>
      </w:r>
      <w:r>
        <w:rPr>
          <w:rFonts w:hint="eastAsia" w:ascii="方正仿宋_GBK" w:hAnsi="Times New Roman" w:eastAsia="方正仿宋_GBK"/>
          <w:kern w:val="0"/>
          <w:sz w:val="32"/>
          <w:szCs w:val="32"/>
          <w:shd w:val="clear" w:color="auto" w:fill="FFFFFF"/>
          <w:lang w:bidi="ar"/>
        </w:rPr>
        <w:t>购买样品，索取发票留证。所需检验样品以承检机构名义付费购买，备用样品由受检企业先行无偿提供，启动备用样品进行复检时由原承检机构另行付费购买，备用样品封存于实体店。</w:t>
      </w:r>
      <w:r>
        <w:rPr>
          <w:rFonts w:hint="eastAsia" w:ascii="方正仿宋_GBK" w:hAnsi="方正仿宋_GBK" w:eastAsia="方正仿宋_GBK"/>
          <w:sz w:val="32"/>
          <w:szCs w:val="32"/>
        </w:rPr>
        <w:t>抽样数量为</w:t>
      </w:r>
      <w:r>
        <w:rPr>
          <w:rFonts w:hint="eastAsia" w:ascii="方正仿宋_GBK" w:hAnsi="Times New Roman" w:eastAsia="方正仿宋_GBK"/>
          <w:sz w:val="32"/>
          <w:szCs w:val="32"/>
        </w:rPr>
        <w:t>2</w:t>
      </w:r>
      <w:r>
        <w:rPr>
          <w:rFonts w:hint="eastAsia" w:ascii="方正仿宋_GBK" w:hAnsi="方正仿宋_GBK" w:eastAsia="方正仿宋_GBK"/>
          <w:sz w:val="32"/>
          <w:szCs w:val="32"/>
        </w:rPr>
        <w:t>条</w:t>
      </w:r>
      <w:r>
        <w:rPr>
          <w:rFonts w:hint="eastAsia" w:ascii="方正仿宋_GBK" w:hAnsi="Times New Roman" w:eastAsia="方正仿宋_GBK"/>
          <w:sz w:val="32"/>
          <w:szCs w:val="32"/>
        </w:rPr>
        <w:t>/</w:t>
      </w:r>
      <w:r>
        <w:rPr>
          <w:rFonts w:hint="eastAsia" w:ascii="方正仿宋_GBK" w:hAnsi="方正仿宋_GBK" w:eastAsia="方正仿宋_GBK"/>
          <w:sz w:val="32"/>
          <w:szCs w:val="32"/>
        </w:rPr>
        <w:t>套，其中</w:t>
      </w:r>
      <w:r>
        <w:rPr>
          <w:rFonts w:hint="eastAsia" w:ascii="方正仿宋_GBK" w:hAnsi="Times New Roman" w:eastAsia="方正仿宋_GBK"/>
          <w:kern w:val="0"/>
          <w:sz w:val="32"/>
          <w:szCs w:val="32"/>
          <w:shd w:val="clear" w:color="auto" w:fill="FFFFFF"/>
          <w:lang w:bidi="ar"/>
        </w:rPr>
        <w:t>1</w:t>
      </w:r>
      <w:r>
        <w:rPr>
          <w:rFonts w:hint="eastAsia" w:ascii="方正仿宋_GBK" w:hAnsi="方正仿宋_GBK" w:eastAsia="方正仿宋_GBK"/>
          <w:sz w:val="32"/>
          <w:szCs w:val="32"/>
        </w:rPr>
        <w:t>条</w:t>
      </w:r>
      <w:r>
        <w:rPr>
          <w:rFonts w:hint="eastAsia" w:ascii="方正仿宋_GBK" w:hAnsi="Times New Roman" w:eastAsia="方正仿宋_GBK"/>
          <w:sz w:val="32"/>
          <w:szCs w:val="32"/>
        </w:rPr>
        <w:t>/</w:t>
      </w:r>
      <w:r>
        <w:rPr>
          <w:rFonts w:hint="eastAsia" w:ascii="方正仿宋_GBK" w:hAnsi="方正仿宋_GBK" w:eastAsia="方正仿宋_GBK"/>
          <w:sz w:val="32"/>
          <w:szCs w:val="32"/>
        </w:rPr>
        <w:t>套</w:t>
      </w:r>
      <w:r>
        <w:rPr>
          <w:rFonts w:hint="eastAsia" w:ascii="方正仿宋_GBK" w:hAnsi="Times New Roman" w:eastAsia="方正仿宋_GBK"/>
          <w:kern w:val="0"/>
          <w:sz w:val="32"/>
          <w:szCs w:val="32"/>
          <w:shd w:val="clear" w:color="auto" w:fill="FFFFFF"/>
          <w:lang w:bidi="ar"/>
        </w:rPr>
        <w:t>作为备用样品，抽样基数满足抽样数量即可</w:t>
      </w:r>
      <w:r>
        <w:rPr>
          <w:rFonts w:hint="eastAsia" w:ascii="方正仿宋_GBK" w:hAnsi="Times New Roman" w:eastAsia="方正仿宋_GBK"/>
          <w:b/>
          <w:bCs/>
          <w:kern w:val="0"/>
          <w:sz w:val="32"/>
          <w:szCs w:val="32"/>
          <w:shd w:val="clear" w:color="auto" w:fill="FFFFFF"/>
          <w:lang w:bidi="ar"/>
        </w:rPr>
        <w:t>。</w:t>
      </w:r>
    </w:p>
    <w:p>
      <w:pPr>
        <w:spacing w:line="600" w:lineRule="exact"/>
        <w:ind w:firstLine="640" w:firstLineChars="200"/>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抽样工作由承检机构持“</w:t>
      </w:r>
      <w:r>
        <w:rPr>
          <w:rFonts w:hint="eastAsia" w:ascii="方正仿宋_GBK" w:hAnsi="方正仿宋_GBK" w:eastAsia="方正仿宋_GBK"/>
          <w:sz w:val="32"/>
          <w:szCs w:val="32"/>
        </w:rPr>
        <w:t>江苏省产品质量监督检验员证</w:t>
      </w:r>
      <w:r>
        <w:rPr>
          <w:rFonts w:hint="eastAsia" w:ascii="方正仿宋_GBK" w:hAnsi="Times New Roman" w:eastAsia="方正仿宋_GBK"/>
          <w:kern w:val="0"/>
          <w:sz w:val="32"/>
          <w:szCs w:val="32"/>
          <w:shd w:val="clear" w:color="auto" w:fill="FFFFFF"/>
          <w:lang w:bidi="ar"/>
        </w:rPr>
        <w:t>”的不少于2名工作人员共同完成。一经采样，立即封样，任何人不得调换。</w:t>
      </w:r>
    </w:p>
    <w:p>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3.检验依据</w:t>
      </w:r>
    </w:p>
    <w:p>
      <w:pPr>
        <w:spacing w:line="600" w:lineRule="exact"/>
        <w:ind w:firstLine="640" w:firstLineChars="200"/>
        <w:jc w:val="center"/>
        <w:rPr>
          <w:rFonts w:ascii="方正仿宋_GBK" w:hAnsi="方正仿宋_GBK" w:eastAsia="方正仿宋_GBK"/>
          <w:sz w:val="32"/>
          <w:szCs w:val="32"/>
        </w:rPr>
      </w:pPr>
      <w:r>
        <w:rPr>
          <w:rFonts w:hint="eastAsia" w:ascii="方正仿宋_GBK" w:hAnsi="方正仿宋_GBK" w:eastAsia="方正仿宋_GBK"/>
          <w:sz w:val="32"/>
          <w:szCs w:val="32"/>
        </w:rPr>
        <w:t>表1 检验项目及依据</w:t>
      </w:r>
    </w:p>
    <w:tbl>
      <w:tblPr>
        <w:tblStyle w:val="5"/>
        <w:tblW w:w="9511"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82"/>
        <w:gridCol w:w="2259"/>
        <w:gridCol w:w="3240"/>
        <w:gridCol w:w="313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844" w:hRule="atLeast"/>
          <w:tblHeader/>
          <w:jc w:val="center"/>
        </w:trPr>
        <w:tc>
          <w:tcPr>
            <w:tcW w:w="88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方正仿宋_GBK" w:eastAsia="方正仿宋_GBK"/>
                <w:sz w:val="32"/>
                <w:szCs w:val="32"/>
              </w:rPr>
            </w:pPr>
            <w:bookmarkStart w:id="0" w:name="_Hlk95205400"/>
            <w:r>
              <w:rPr>
                <w:rFonts w:hint="eastAsia" w:ascii="方正仿宋_GBK" w:hAnsi="方正仿宋_GBK" w:eastAsia="方正仿宋_GBK"/>
                <w:sz w:val="32"/>
                <w:szCs w:val="32"/>
              </w:rPr>
              <w:t>序号</w:t>
            </w:r>
          </w:p>
        </w:tc>
        <w:tc>
          <w:tcPr>
            <w:tcW w:w="225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检验检测项目</w:t>
            </w:r>
          </w:p>
        </w:tc>
        <w:tc>
          <w:tcPr>
            <w:tcW w:w="32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检验检测依据</w:t>
            </w:r>
          </w:p>
        </w:tc>
        <w:tc>
          <w:tcPr>
            <w:tcW w:w="313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检验检测方法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340" w:hRule="atLeast"/>
          <w:jc w:val="center"/>
        </w:trPr>
        <w:tc>
          <w:tcPr>
            <w:tcW w:w="88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1</w:t>
            </w:r>
          </w:p>
        </w:tc>
        <w:tc>
          <w:tcPr>
            <w:tcW w:w="225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甲醛含量</w:t>
            </w:r>
          </w:p>
        </w:tc>
        <w:tc>
          <w:tcPr>
            <w:tcW w:w="3240"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GB 18401-2010、相应产品标准</w:t>
            </w:r>
          </w:p>
        </w:tc>
        <w:tc>
          <w:tcPr>
            <w:tcW w:w="313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GB/T 2912.1-2009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179" w:hRule="atLeast"/>
          <w:jc w:val="center"/>
        </w:trPr>
        <w:tc>
          <w:tcPr>
            <w:tcW w:w="88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2</w:t>
            </w:r>
          </w:p>
        </w:tc>
        <w:tc>
          <w:tcPr>
            <w:tcW w:w="225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pH值</w:t>
            </w:r>
          </w:p>
        </w:tc>
        <w:tc>
          <w:tcPr>
            <w:tcW w:w="3240"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方正仿宋_GBK" w:eastAsia="方正仿宋_GBK"/>
                <w:sz w:val="32"/>
                <w:szCs w:val="32"/>
              </w:rPr>
            </w:pPr>
          </w:p>
        </w:tc>
        <w:tc>
          <w:tcPr>
            <w:tcW w:w="313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GB/T 7573-2009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179" w:hRule="atLeast"/>
          <w:jc w:val="center"/>
        </w:trPr>
        <w:tc>
          <w:tcPr>
            <w:tcW w:w="88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3</w:t>
            </w:r>
          </w:p>
        </w:tc>
        <w:tc>
          <w:tcPr>
            <w:tcW w:w="225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耐水色牢度</w:t>
            </w:r>
          </w:p>
        </w:tc>
        <w:tc>
          <w:tcPr>
            <w:tcW w:w="3240"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方正仿宋_GBK" w:eastAsia="方正仿宋_GBK"/>
                <w:sz w:val="32"/>
                <w:szCs w:val="32"/>
              </w:rPr>
            </w:pPr>
          </w:p>
        </w:tc>
        <w:tc>
          <w:tcPr>
            <w:tcW w:w="313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GB/T 5713-2013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179" w:hRule="atLeast"/>
          <w:jc w:val="center"/>
        </w:trPr>
        <w:tc>
          <w:tcPr>
            <w:tcW w:w="88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4</w:t>
            </w:r>
          </w:p>
        </w:tc>
        <w:tc>
          <w:tcPr>
            <w:tcW w:w="225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耐酸汗渍色牢度</w:t>
            </w:r>
          </w:p>
        </w:tc>
        <w:tc>
          <w:tcPr>
            <w:tcW w:w="3240"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方正仿宋_GBK" w:eastAsia="方正仿宋_GBK"/>
                <w:sz w:val="32"/>
                <w:szCs w:val="32"/>
              </w:rPr>
            </w:pPr>
          </w:p>
        </w:tc>
        <w:tc>
          <w:tcPr>
            <w:tcW w:w="313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GB/T 3922-2013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179" w:hRule="atLeast"/>
          <w:jc w:val="center"/>
        </w:trPr>
        <w:tc>
          <w:tcPr>
            <w:tcW w:w="88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方正仿宋_GBK" w:hAnsi="方正仿宋_GBK" w:eastAsia="方正仿宋_GBK"/>
                <w:sz w:val="32"/>
                <w:szCs w:val="32"/>
              </w:rPr>
            </w:pPr>
            <w:r>
              <w:rPr>
                <w:rFonts w:hint="eastAsia" w:ascii="方正仿宋_GBK" w:hAnsi="方正仿宋_GBK" w:eastAsia="方正仿宋_GBK"/>
                <w:sz w:val="32"/>
                <w:szCs w:val="32"/>
              </w:rPr>
              <w:t>5</w:t>
            </w:r>
          </w:p>
        </w:tc>
        <w:tc>
          <w:tcPr>
            <w:tcW w:w="225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方正仿宋_GBK" w:hAnsi="方正仿宋_GBK" w:eastAsia="方正仿宋_GBK"/>
                <w:sz w:val="32"/>
                <w:szCs w:val="32"/>
              </w:rPr>
            </w:pPr>
            <w:r>
              <w:rPr>
                <w:rFonts w:hint="eastAsia" w:ascii="方正仿宋_GBK" w:hAnsi="方正仿宋_GBK" w:eastAsia="方正仿宋_GBK"/>
                <w:sz w:val="32"/>
                <w:szCs w:val="32"/>
              </w:rPr>
              <w:t>耐碱汗渍色牢度</w:t>
            </w:r>
          </w:p>
        </w:tc>
        <w:tc>
          <w:tcPr>
            <w:tcW w:w="3240"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方正仿宋_GBK" w:eastAsia="方正仿宋_GBK"/>
                <w:sz w:val="32"/>
                <w:szCs w:val="32"/>
              </w:rPr>
            </w:pPr>
          </w:p>
        </w:tc>
        <w:tc>
          <w:tcPr>
            <w:tcW w:w="313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方正仿宋_GBK" w:hAnsi="方正仿宋_GBK" w:eastAsia="方正仿宋_GBK"/>
                <w:sz w:val="32"/>
                <w:szCs w:val="32"/>
              </w:rPr>
            </w:pPr>
            <w:r>
              <w:rPr>
                <w:rFonts w:hint="eastAsia" w:ascii="方正仿宋_GBK" w:hAnsi="方正仿宋_GBK" w:eastAsia="方正仿宋_GBK"/>
                <w:sz w:val="32"/>
                <w:szCs w:val="32"/>
              </w:rPr>
              <w:t>GB/T 3922-2013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179" w:hRule="atLeast"/>
          <w:jc w:val="center"/>
        </w:trPr>
        <w:tc>
          <w:tcPr>
            <w:tcW w:w="88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6</w:t>
            </w:r>
          </w:p>
        </w:tc>
        <w:tc>
          <w:tcPr>
            <w:tcW w:w="225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耐干摩擦色牢度</w:t>
            </w:r>
          </w:p>
        </w:tc>
        <w:tc>
          <w:tcPr>
            <w:tcW w:w="3240"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方正仿宋_GBK" w:eastAsia="方正仿宋_GBK"/>
                <w:sz w:val="32"/>
                <w:szCs w:val="32"/>
              </w:rPr>
            </w:pPr>
          </w:p>
        </w:tc>
        <w:tc>
          <w:tcPr>
            <w:tcW w:w="313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GB/T 3920-2008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179" w:hRule="atLeast"/>
          <w:jc w:val="center"/>
        </w:trPr>
        <w:tc>
          <w:tcPr>
            <w:tcW w:w="88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7</w:t>
            </w:r>
          </w:p>
        </w:tc>
        <w:tc>
          <w:tcPr>
            <w:tcW w:w="225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方正仿宋_GBK" w:hAnsi="方正仿宋_GBK" w:eastAsia="方正仿宋_GBK"/>
                <w:sz w:val="32"/>
                <w:szCs w:val="32"/>
              </w:rPr>
            </w:pPr>
            <w:r>
              <w:rPr>
                <w:rFonts w:hint="eastAsia" w:ascii="方正仿宋_GBK" w:hAnsi="方正仿宋_GBK" w:eastAsia="方正仿宋_GBK"/>
                <w:sz w:val="32"/>
                <w:szCs w:val="32"/>
              </w:rPr>
              <w:t>耐湿摩擦色牢度</w:t>
            </w:r>
          </w:p>
        </w:tc>
        <w:tc>
          <w:tcPr>
            <w:tcW w:w="3240" w:type="dxa"/>
            <w:vMerge w:val="restart"/>
            <w:tcBorders>
              <w:top w:val="single" w:color="auto" w:sz="4" w:space="0"/>
              <w:left w:val="single" w:color="auto" w:sz="4" w:space="0"/>
              <w:right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相应产品标准</w:t>
            </w:r>
          </w:p>
        </w:tc>
        <w:tc>
          <w:tcPr>
            <w:tcW w:w="313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方正仿宋_GBK" w:hAnsi="方正仿宋_GBK" w:eastAsia="方正仿宋_GBK"/>
                <w:sz w:val="32"/>
                <w:szCs w:val="32"/>
              </w:rPr>
            </w:pPr>
            <w:r>
              <w:rPr>
                <w:rFonts w:hint="eastAsia" w:ascii="方正仿宋_GBK" w:hAnsi="方正仿宋_GBK" w:eastAsia="方正仿宋_GBK"/>
                <w:sz w:val="32"/>
                <w:szCs w:val="32"/>
              </w:rPr>
              <w:t>GB/T 3920-2008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179" w:hRule="atLeast"/>
          <w:jc w:val="center"/>
        </w:trPr>
        <w:tc>
          <w:tcPr>
            <w:tcW w:w="88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8</w:t>
            </w:r>
          </w:p>
        </w:tc>
        <w:tc>
          <w:tcPr>
            <w:tcW w:w="225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断裂强力</w:t>
            </w:r>
          </w:p>
        </w:tc>
        <w:tc>
          <w:tcPr>
            <w:tcW w:w="3240" w:type="dxa"/>
            <w:vMerge w:val="continue"/>
            <w:tcBorders>
              <w:left w:val="single" w:color="auto" w:sz="4" w:space="0"/>
              <w:right w:val="single" w:color="auto" w:sz="4" w:space="0"/>
            </w:tcBorders>
            <w:vAlign w:val="center"/>
          </w:tcPr>
          <w:p>
            <w:pPr>
              <w:adjustRightInd w:val="0"/>
              <w:snapToGrid w:val="0"/>
              <w:jc w:val="center"/>
              <w:rPr>
                <w:rFonts w:ascii="方正仿宋_GBK" w:hAnsi="方正仿宋_GBK" w:eastAsia="方正仿宋_GBK"/>
                <w:sz w:val="32"/>
                <w:szCs w:val="32"/>
              </w:rPr>
            </w:pPr>
          </w:p>
        </w:tc>
        <w:tc>
          <w:tcPr>
            <w:tcW w:w="313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GB/T 3923.1-2013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179" w:hRule="atLeast"/>
          <w:jc w:val="center"/>
        </w:trPr>
        <w:tc>
          <w:tcPr>
            <w:tcW w:w="88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9</w:t>
            </w:r>
          </w:p>
        </w:tc>
        <w:tc>
          <w:tcPr>
            <w:tcW w:w="225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耐皂洗色牢度</w:t>
            </w:r>
          </w:p>
        </w:tc>
        <w:tc>
          <w:tcPr>
            <w:tcW w:w="3240" w:type="dxa"/>
            <w:vMerge w:val="continue"/>
            <w:tcBorders>
              <w:left w:val="single" w:color="auto" w:sz="4" w:space="0"/>
              <w:bottom w:val="single" w:color="auto" w:sz="4" w:space="0"/>
              <w:right w:val="single" w:color="auto" w:sz="4" w:space="0"/>
            </w:tcBorders>
            <w:vAlign w:val="center"/>
          </w:tcPr>
          <w:p>
            <w:pPr>
              <w:adjustRightInd w:val="0"/>
              <w:snapToGrid w:val="0"/>
              <w:jc w:val="center"/>
              <w:rPr>
                <w:rFonts w:ascii="方正仿宋_GBK" w:hAnsi="方正仿宋_GBK" w:eastAsia="方正仿宋_GBK"/>
                <w:sz w:val="32"/>
                <w:szCs w:val="32"/>
              </w:rPr>
            </w:pPr>
          </w:p>
        </w:tc>
        <w:tc>
          <w:tcPr>
            <w:tcW w:w="313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GB/T 3921-2008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179" w:hRule="atLeast"/>
          <w:jc w:val="center"/>
        </w:trPr>
        <w:tc>
          <w:tcPr>
            <w:tcW w:w="882" w:type="dxa"/>
            <w:tcBorders>
              <w:top w:val="single" w:color="auto" w:sz="4" w:space="0"/>
              <w:left w:val="single" w:color="auto" w:sz="6" w:space="0"/>
              <w:bottom w:val="single" w:color="auto" w:sz="6" w:space="0"/>
              <w:right w:val="single" w:color="auto" w:sz="6"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1</w:t>
            </w:r>
            <w:r>
              <w:rPr>
                <w:rFonts w:ascii="方正仿宋_GBK" w:hAnsi="方正仿宋_GBK" w:eastAsia="方正仿宋_GBK"/>
                <w:sz w:val="32"/>
                <w:szCs w:val="32"/>
              </w:rPr>
              <w:t>0</w:t>
            </w:r>
          </w:p>
        </w:tc>
        <w:tc>
          <w:tcPr>
            <w:tcW w:w="225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纤维含量</w:t>
            </w:r>
          </w:p>
        </w:tc>
        <w:tc>
          <w:tcPr>
            <w:tcW w:w="3240" w:type="dxa"/>
            <w:tcBorders>
              <w:top w:val="single" w:color="auto" w:sz="4" w:space="0"/>
              <w:left w:val="single" w:color="auto" w:sz="4" w:space="0"/>
              <w:bottom w:val="single" w:color="auto" w:sz="6" w:space="0"/>
              <w:right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GB/T 29862-2013、</w:t>
            </w:r>
          </w:p>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相应产品标准</w:t>
            </w:r>
          </w:p>
        </w:tc>
        <w:tc>
          <w:tcPr>
            <w:tcW w:w="313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FZ/T 01057-2007、GB/T 2910-2009等</w:t>
            </w:r>
          </w:p>
        </w:tc>
      </w:tr>
      <w:bookmarkEnd w:id="0"/>
    </w:tbl>
    <w:p>
      <w:pPr>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pPr>
        <w:snapToGrid w:val="0"/>
        <w:spacing w:line="600" w:lineRule="exact"/>
        <w:ind w:firstLine="560"/>
        <w:rPr>
          <w:rFonts w:ascii="宋体" w:hAnsi="宋体" w:cs="宋体"/>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4.判定规则</w:t>
      </w:r>
    </w:p>
    <w:p>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4.1依据标准</w:t>
      </w:r>
    </w:p>
    <w:p>
      <w:pPr>
        <w:spacing w:line="600" w:lineRule="exact"/>
        <w:ind w:firstLine="560"/>
        <w:rPr>
          <w:rFonts w:ascii="方正仿宋_GBK" w:hAnsi="Times New Roman" w:eastAsia="方正仿宋_GBK"/>
          <w:bCs/>
          <w:kern w:val="0"/>
          <w:sz w:val="32"/>
          <w:szCs w:val="32"/>
          <w:shd w:val="clear" w:color="auto" w:fill="FFFFFF"/>
          <w:lang w:bidi="ar"/>
        </w:rPr>
      </w:pPr>
      <w:r>
        <w:rPr>
          <w:rFonts w:hint="eastAsia" w:ascii="方正仿宋_GBK" w:hAnsi="Times New Roman" w:eastAsia="方正仿宋_GBK"/>
          <w:bCs/>
          <w:kern w:val="0"/>
          <w:sz w:val="32"/>
          <w:szCs w:val="32"/>
          <w:shd w:val="clear" w:color="auto" w:fill="FFFFFF"/>
          <w:lang w:bidi="ar"/>
        </w:rPr>
        <w:t xml:space="preserve">GB 18401-2010 </w:t>
      </w:r>
      <w:r>
        <w:rPr>
          <w:rFonts w:ascii="方正仿宋_GBK" w:hAnsi="Times New Roman" w:eastAsia="方正仿宋_GBK"/>
          <w:bCs/>
          <w:kern w:val="0"/>
          <w:sz w:val="32"/>
          <w:szCs w:val="32"/>
          <w:shd w:val="clear" w:color="auto" w:fill="FFFFFF"/>
          <w:lang w:bidi="ar"/>
        </w:rPr>
        <w:t xml:space="preserve"> </w:t>
      </w:r>
      <w:r>
        <w:rPr>
          <w:rFonts w:hint="eastAsia" w:ascii="方正仿宋_GBK" w:hAnsi="Times New Roman" w:eastAsia="方正仿宋_GBK"/>
          <w:bCs/>
          <w:kern w:val="0"/>
          <w:sz w:val="32"/>
          <w:szCs w:val="32"/>
          <w:shd w:val="clear" w:color="auto" w:fill="FFFFFF"/>
          <w:lang w:bidi="ar"/>
        </w:rPr>
        <w:t>《国家纺织产品基本安全技术规范》</w:t>
      </w:r>
    </w:p>
    <w:p>
      <w:pPr>
        <w:spacing w:line="600" w:lineRule="exact"/>
        <w:ind w:firstLine="560"/>
        <w:rPr>
          <w:rFonts w:ascii="方正仿宋_GBK" w:hAnsi="Times New Roman" w:eastAsia="方正仿宋_GBK"/>
          <w:bCs/>
          <w:kern w:val="0"/>
          <w:sz w:val="32"/>
          <w:szCs w:val="32"/>
          <w:shd w:val="clear" w:color="auto" w:fill="FFFFFF"/>
          <w:lang w:bidi="ar"/>
        </w:rPr>
      </w:pPr>
      <w:r>
        <w:rPr>
          <w:rFonts w:hint="eastAsia" w:ascii="方正仿宋_GBK" w:hAnsi="Times New Roman" w:eastAsia="方正仿宋_GBK"/>
          <w:bCs/>
          <w:kern w:val="0"/>
          <w:sz w:val="32"/>
          <w:szCs w:val="32"/>
          <w:shd w:val="clear" w:color="auto" w:fill="FFFFFF"/>
          <w:lang w:bidi="ar"/>
        </w:rPr>
        <w:t>GB/T 29862-2013 《纺织品纤维含量的标识》</w:t>
      </w:r>
    </w:p>
    <w:p>
      <w:pPr>
        <w:spacing w:line="600" w:lineRule="exact"/>
        <w:ind w:firstLine="560"/>
        <w:rPr>
          <w:rFonts w:ascii="方正仿宋_GBK" w:hAnsi="Times New Roman" w:eastAsia="方正仿宋_GBK"/>
          <w:bCs/>
          <w:kern w:val="0"/>
          <w:sz w:val="32"/>
          <w:szCs w:val="32"/>
          <w:shd w:val="clear" w:color="auto" w:fill="FFFFFF"/>
          <w:lang w:bidi="ar"/>
        </w:rPr>
      </w:pPr>
      <w:r>
        <w:rPr>
          <w:rFonts w:hint="eastAsia" w:ascii="方正仿宋_GBK" w:hAnsi="Times New Roman" w:eastAsia="方正仿宋_GBK"/>
          <w:bCs/>
          <w:kern w:val="0"/>
          <w:sz w:val="32"/>
          <w:szCs w:val="32"/>
          <w:shd w:val="clear" w:color="auto" w:fill="FFFFFF"/>
          <w:lang w:bidi="ar"/>
        </w:rPr>
        <w:t>GB/T 22796-20</w:t>
      </w:r>
      <w:r>
        <w:rPr>
          <w:rFonts w:ascii="方正仿宋_GBK" w:hAnsi="Times New Roman" w:eastAsia="方正仿宋_GBK"/>
          <w:bCs/>
          <w:kern w:val="0"/>
          <w:sz w:val="32"/>
          <w:szCs w:val="32"/>
          <w:shd w:val="clear" w:color="auto" w:fill="FFFFFF"/>
          <w:lang w:bidi="ar"/>
        </w:rPr>
        <w:t>21</w:t>
      </w:r>
      <w:r>
        <w:rPr>
          <w:rFonts w:hint="eastAsia" w:ascii="方正仿宋_GBK" w:hAnsi="Times New Roman" w:eastAsia="方正仿宋_GBK"/>
          <w:bCs/>
          <w:kern w:val="0"/>
          <w:sz w:val="32"/>
          <w:szCs w:val="32"/>
          <w:shd w:val="clear" w:color="auto" w:fill="FFFFFF"/>
          <w:lang w:bidi="ar"/>
        </w:rPr>
        <w:t xml:space="preserve"> 《床上用品》</w:t>
      </w:r>
    </w:p>
    <w:p>
      <w:pPr>
        <w:spacing w:line="600" w:lineRule="exact"/>
        <w:ind w:firstLine="560"/>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相关的法律法规、部门规章和规范；</w:t>
      </w:r>
    </w:p>
    <w:p>
      <w:pPr>
        <w:spacing w:line="600" w:lineRule="exact"/>
        <w:ind w:firstLine="560"/>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经备案现行有效的企业标准及产品明示质量要求。</w:t>
      </w:r>
    </w:p>
    <w:p>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4.2判定原则</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经检验，检验项目全部合格，判定为被抽查产品未发现不合格；检验项目中任一项或一项以上不合格，判定为被抽查产品不合格。</w:t>
      </w:r>
    </w:p>
    <w:p>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5.异议处理</w:t>
      </w:r>
    </w:p>
    <w:p>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5.1对监督抽查程序有异议的，由任务下达部门核查相关证据后维持或者撤销原检验结果。</w:t>
      </w:r>
    </w:p>
    <w:p>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5.3对样品信息有异议的，任务下达部门核查样品确认情况和生产企业提交证明材料后，维持或者撤销原检验结果。</w:t>
      </w:r>
    </w:p>
    <w:p>
      <w:pPr>
        <w:spacing w:line="600" w:lineRule="exact"/>
        <w:ind w:firstLine="640" w:firstLineChars="200"/>
        <w:rPr>
          <w:rFonts w:ascii="方正仿宋_GBK" w:hAnsi="方正仿宋_GBK" w:eastAsia="方正仿宋_GBK" w:cs="方正仿宋_GBK"/>
          <w:sz w:val="32"/>
          <w:szCs w:val="32"/>
        </w:rPr>
      </w:pPr>
      <w:r>
        <w:rPr>
          <w:rFonts w:hint="eastAsia" w:ascii="方正仿宋_GBK" w:hAnsi="Times New Roman" w:eastAsia="方正仿宋_GBK"/>
          <w:sz w:val="32"/>
          <w:szCs w:val="32"/>
        </w:rPr>
        <w:t>5.4本次监督抽查项目均可复检</w:t>
      </w:r>
      <w:r>
        <w:rPr>
          <w:rFonts w:hint="eastAsia" w:ascii="方正仿宋_GBK" w:hAnsi="方正仿宋_GBK" w:eastAsia="方正仿宋_GBK" w:cs="方正仿宋_GBK"/>
          <w:sz w:val="32"/>
          <w:szCs w:val="32"/>
        </w:rPr>
        <w:t>。</w:t>
      </w:r>
    </w:p>
    <w:p>
      <w:pPr>
        <w:spacing w:line="600" w:lineRule="exact"/>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_GBK">
    <w:altName w:val="微软雅黑"/>
    <w:panose1 w:val="00000000000000000000"/>
    <w:charset w:val="86"/>
    <w:family w:val="auto"/>
    <w:pitch w:val="default"/>
    <w:sig w:usb0="00000000" w:usb1="00000000" w:usb2="00000000" w:usb3="00000000" w:csb0="00040000" w:csb1="00000000"/>
  </w:font>
  <w:font w:name="方正黑体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方正仿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jNjVlNmU5OTIzNWNjOGYyOWIwNmI1NzMwYzMyYTQifQ=="/>
  </w:docVars>
  <w:rsids>
    <w:rsidRoot w:val="001441AF"/>
    <w:rsid w:val="001441AF"/>
    <w:rsid w:val="00B32474"/>
    <w:rsid w:val="00D65786"/>
    <w:rsid w:val="00E50B64"/>
    <w:rsid w:val="01610122"/>
    <w:rsid w:val="016A4161"/>
    <w:rsid w:val="04583A5F"/>
    <w:rsid w:val="06236CA2"/>
    <w:rsid w:val="07597C5B"/>
    <w:rsid w:val="08EB0A30"/>
    <w:rsid w:val="0B3D24FE"/>
    <w:rsid w:val="1180065A"/>
    <w:rsid w:val="19BF5546"/>
    <w:rsid w:val="1D9236E6"/>
    <w:rsid w:val="21621621"/>
    <w:rsid w:val="22343D07"/>
    <w:rsid w:val="22786B29"/>
    <w:rsid w:val="26551754"/>
    <w:rsid w:val="26903450"/>
    <w:rsid w:val="26962DDB"/>
    <w:rsid w:val="28363D32"/>
    <w:rsid w:val="287A0B9F"/>
    <w:rsid w:val="288822B5"/>
    <w:rsid w:val="29135BFF"/>
    <w:rsid w:val="2ADA27ED"/>
    <w:rsid w:val="2AF416D5"/>
    <w:rsid w:val="2B5E67F1"/>
    <w:rsid w:val="2C5A2FF0"/>
    <w:rsid w:val="2E3F0BEE"/>
    <w:rsid w:val="2E690493"/>
    <w:rsid w:val="2F8853AA"/>
    <w:rsid w:val="325902CD"/>
    <w:rsid w:val="3421680C"/>
    <w:rsid w:val="37712C33"/>
    <w:rsid w:val="3887559B"/>
    <w:rsid w:val="3B93089D"/>
    <w:rsid w:val="3CA57A27"/>
    <w:rsid w:val="3EBA37FA"/>
    <w:rsid w:val="3ED25E1E"/>
    <w:rsid w:val="3F8769CB"/>
    <w:rsid w:val="44962A37"/>
    <w:rsid w:val="45554E75"/>
    <w:rsid w:val="4663139F"/>
    <w:rsid w:val="471362A9"/>
    <w:rsid w:val="474D674C"/>
    <w:rsid w:val="48027536"/>
    <w:rsid w:val="49B14BD5"/>
    <w:rsid w:val="49B77EAC"/>
    <w:rsid w:val="4A0543E7"/>
    <w:rsid w:val="4A484FA8"/>
    <w:rsid w:val="4AAD305D"/>
    <w:rsid w:val="4C6912E9"/>
    <w:rsid w:val="4F9205A5"/>
    <w:rsid w:val="51AE4863"/>
    <w:rsid w:val="532B216B"/>
    <w:rsid w:val="56C43C09"/>
    <w:rsid w:val="5A793BB6"/>
    <w:rsid w:val="5A912603"/>
    <w:rsid w:val="5A963D30"/>
    <w:rsid w:val="5AC77764"/>
    <w:rsid w:val="5CA81B9C"/>
    <w:rsid w:val="5D8B722E"/>
    <w:rsid w:val="5EAC27E5"/>
    <w:rsid w:val="5EE765A7"/>
    <w:rsid w:val="61CE11BE"/>
    <w:rsid w:val="63136DB7"/>
    <w:rsid w:val="65E70F67"/>
    <w:rsid w:val="65EE67C8"/>
    <w:rsid w:val="691D75BD"/>
    <w:rsid w:val="6B816278"/>
    <w:rsid w:val="6BC35959"/>
    <w:rsid w:val="71381E96"/>
    <w:rsid w:val="73EB4A7A"/>
    <w:rsid w:val="74D53C87"/>
    <w:rsid w:val="789E7E07"/>
    <w:rsid w:val="78D75783"/>
    <w:rsid w:val="78FA6B64"/>
    <w:rsid w:val="79501D07"/>
    <w:rsid w:val="7AC73D3E"/>
    <w:rsid w:val="7D0602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GTTC</Company>
  <Pages>4</Pages>
  <Words>266</Words>
  <Characters>1517</Characters>
  <Lines>12</Lines>
  <Paragraphs>3</Paragraphs>
  <TotalTime>9</TotalTime>
  <ScaleCrop>false</ScaleCrop>
  <LinksUpToDate>false</LinksUpToDate>
  <CharactersWithSpaces>1780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2024-01-26T06:08:00Z</dcterms:created>
  <dc:creator>Administrator</dc:creator>
  <cp:lastModifiedBy>乌咪</cp:lastModifiedBy>
  <dcterms:modified xsi:type="dcterms:W3CDTF">2025-04-29T07:04:23Z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44C3EF2EDF0F4FA6AD2FF7B55B2EFB57_13</vt:lpwstr>
  </property>
</Properties>
</file>