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南通市婴幼儿服装（童装）产品质量监督抽查实施细则</w:t>
      </w:r>
    </w:p>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（2025年版）</w:t>
      </w:r>
    </w:p>
    <w:p>
      <w:pPr>
        <w:spacing w:line="600" w:lineRule="exact"/>
        <w:ind w:firstLine="640" w:firstLineChars="200"/>
        <w:rPr>
          <w:rFonts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bCs/>
          <w:sz w:val="32"/>
          <w:szCs w:val="32"/>
        </w:rPr>
        <w:t>1.</w:t>
      </w:r>
      <w:r>
        <w:rPr>
          <w:rFonts w:hint="eastAsia" w:ascii="方正黑体_GBK" w:hAnsi="方正黑体_GBK" w:eastAsia="方正黑体_GBK" w:cs="方正黑体_GBK"/>
          <w:kern w:val="0"/>
          <w:sz w:val="32"/>
          <w:szCs w:val="32"/>
          <w:shd w:val="clear" w:color="auto" w:fill="FFFFFF"/>
          <w:lang w:bidi="ar"/>
        </w:rPr>
        <w:t>范围</w:t>
      </w:r>
    </w:p>
    <w:p>
      <w:pPr>
        <w:spacing w:line="600" w:lineRule="exact"/>
        <w:ind w:firstLine="640" w:firstLineChars="200"/>
        <w:rPr>
          <w:rFonts w:ascii="仿宋_GB2312" w:hAnsi="宋体" w:eastAsia="仿宋_GB2312"/>
          <w:sz w:val="30"/>
          <w:szCs w:val="32"/>
        </w:rPr>
      </w:pPr>
      <w:r>
        <w:rPr>
          <w:rFonts w:hint="eastAsia" w:ascii="方正仿宋_GBK" w:hAnsi="方正仿宋_GBK" w:eastAsia="方正仿宋_GBK" w:cs="方正仿宋_GBK"/>
          <w:sz w:val="32"/>
          <w:szCs w:val="32"/>
        </w:rPr>
        <w:t>本细则适用于南通市市场监督管理局组织的婴幼儿服装（童装）产品质量监督抽查检验。本细则规定了此产品的抽样方法、检验依据、检验项目、检验方法、判定原则、异议处理及复检。</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2.抽样方法</w:t>
      </w:r>
    </w:p>
    <w:p>
      <w:pPr>
        <w:snapToGrid w:val="0"/>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w:t>
      </w:r>
      <w:r>
        <w:rPr>
          <w:rFonts w:ascii="方正黑体_GBK" w:hAnsi="宋体" w:eastAsia="方正黑体_GBK" w:cs="宋体"/>
          <w:bCs/>
          <w:sz w:val="32"/>
          <w:szCs w:val="32"/>
        </w:rPr>
        <w:t>.</w:t>
      </w:r>
      <w:r>
        <w:rPr>
          <w:rFonts w:hint="eastAsia" w:ascii="方正黑体_GBK" w:hAnsi="宋体" w:eastAsia="方正黑体_GBK" w:cs="宋体"/>
          <w:bCs/>
          <w:sz w:val="32"/>
          <w:szCs w:val="32"/>
        </w:rPr>
        <w:t>1生产企业抽样</w:t>
      </w:r>
    </w:p>
    <w:p>
      <w:pPr>
        <w:spacing w:line="600" w:lineRule="exact"/>
        <w:ind w:firstLine="640" w:firstLineChars="200"/>
        <w:rPr>
          <w:rFonts w:ascii="方正仿宋_GBK" w:hAnsi="方正仿宋_GBK" w:eastAsia="方正仿宋_GBK"/>
          <w:sz w:val="32"/>
          <w:szCs w:val="32"/>
        </w:rPr>
      </w:pPr>
      <w:r>
        <w:rPr>
          <w:rFonts w:hint="eastAsia" w:ascii="方正仿宋_GBK" w:hAnsi="宋体" w:eastAsia="方正仿宋_GBK" w:cs="宋体"/>
          <w:sz w:val="32"/>
          <w:szCs w:val="32"/>
        </w:rPr>
        <w:t>抽样人员在事先不通知生产企业的情况下在成品仓库中随机抽取有产品质量检验合格证明或以任何其他形式表明合格的待销产品，随机数使用扑克牌方法产生，所需检验样品以承检机构名义付费购买，备用样品由受检企业先行无偿提供，启动备用样品进行复检时由原承检机构另行付费购买，备用样品封存于生产企业。</w:t>
      </w:r>
      <w:r>
        <w:rPr>
          <w:rFonts w:ascii="方正仿宋_GBK" w:hAnsi="方正仿宋_GBK" w:eastAsia="方正仿宋_GBK"/>
          <w:sz w:val="32"/>
          <w:szCs w:val="32"/>
        </w:rPr>
        <w:t>抽样数量为</w:t>
      </w:r>
      <w:r>
        <w:rPr>
          <w:rFonts w:hint="eastAsia" w:ascii="方正仿宋_GBK" w:hAnsi="方正仿宋_GBK" w:eastAsia="方正仿宋_GBK"/>
          <w:sz w:val="32"/>
          <w:szCs w:val="32"/>
        </w:rPr>
        <w:t>3件/条/套，其中2件/条/套作为检验样品，1件/条/套作为备用样品</w:t>
      </w:r>
      <w:r>
        <w:rPr>
          <w:rFonts w:ascii="方正仿宋_GBK" w:hAnsi="方正仿宋_GBK" w:eastAsia="方正仿宋_GBK"/>
          <w:sz w:val="32"/>
          <w:szCs w:val="32"/>
        </w:rPr>
        <w:t>，</w:t>
      </w:r>
      <w:r>
        <w:rPr>
          <w:rFonts w:hint="eastAsia" w:ascii="方正仿宋_GBK" w:hAnsi="方正仿宋_GBK" w:eastAsia="方正仿宋_GBK"/>
          <w:sz w:val="32"/>
          <w:szCs w:val="32"/>
        </w:rPr>
        <w:t>如样品面积过小，可适当增加抽样数量，抽样基数满足抽样数量即可</w:t>
      </w:r>
      <w:r>
        <w:rPr>
          <w:rFonts w:ascii="方正仿宋_GBK" w:hAnsi="方正仿宋_GBK" w:eastAsia="方正仿宋_GBK"/>
          <w:sz w:val="32"/>
          <w:szCs w:val="32"/>
        </w:rPr>
        <w:t>。</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lang w:val="en-US" w:eastAsia="zh-CN"/>
        </w:rPr>
        <w:t>2.2</w:t>
      </w:r>
      <w:r>
        <w:rPr>
          <w:rFonts w:hint="eastAsia" w:ascii="方正黑体_GBK" w:hAnsi="宋体" w:eastAsia="方正黑体_GBK" w:cs="宋体"/>
          <w:bCs/>
          <w:sz w:val="32"/>
          <w:szCs w:val="32"/>
        </w:rPr>
        <w:t>实体店抽样</w:t>
      </w:r>
    </w:p>
    <w:p>
      <w:pPr>
        <w:spacing w:line="600" w:lineRule="exact"/>
        <w:ind w:firstLine="640" w:firstLineChars="200"/>
        <w:rPr>
          <w:rFonts w:ascii="方正仿宋_GBK" w:hAnsi="方正仿宋_GBK" w:eastAsia="方正仿宋_GBK"/>
          <w:sz w:val="32"/>
          <w:szCs w:val="32"/>
        </w:rPr>
      </w:pPr>
      <w:r>
        <w:rPr>
          <w:rFonts w:hint="eastAsia" w:ascii="方正仿宋_GBK" w:hAnsi="Times New Roman" w:eastAsia="方正仿宋_GBK"/>
          <w:kern w:val="0"/>
          <w:sz w:val="32"/>
          <w:szCs w:val="32"/>
          <w:shd w:val="clear" w:color="auto" w:fill="FFFFFF"/>
          <w:lang w:bidi="ar"/>
        </w:rPr>
        <w:t>购买样品，索取发票留证。所需检验样品以承检机构名义付费购买，备用样品由受检企业先行无偿提供，启动备用样品进行复检时由原承检机构另行付费购买，备用样品封存于实体店。</w:t>
      </w:r>
      <w:r>
        <w:rPr>
          <w:rFonts w:ascii="方正仿宋_GBK" w:hAnsi="方正仿宋_GBK" w:eastAsia="方正仿宋_GBK"/>
          <w:sz w:val="32"/>
          <w:szCs w:val="32"/>
        </w:rPr>
        <w:t>抽样数量为</w:t>
      </w:r>
      <w:r>
        <w:rPr>
          <w:rFonts w:hint="eastAsia" w:ascii="方正仿宋_GBK" w:hAnsi="方正仿宋_GBK" w:eastAsia="方正仿宋_GBK"/>
          <w:sz w:val="32"/>
          <w:szCs w:val="32"/>
        </w:rPr>
        <w:t>3件/条/套，其中2件/条/套作为检验样品，1件/条/套作为备用样品</w:t>
      </w:r>
      <w:r>
        <w:rPr>
          <w:rFonts w:ascii="方正仿宋_GBK" w:hAnsi="方正仿宋_GBK" w:eastAsia="方正仿宋_GBK"/>
          <w:sz w:val="32"/>
          <w:szCs w:val="32"/>
        </w:rPr>
        <w:t>，</w:t>
      </w:r>
      <w:r>
        <w:rPr>
          <w:rFonts w:hint="eastAsia" w:ascii="方正仿宋_GBK" w:hAnsi="方正仿宋_GBK" w:eastAsia="方正仿宋_GBK"/>
          <w:sz w:val="32"/>
          <w:szCs w:val="32"/>
        </w:rPr>
        <w:t>如样品面积过小，可适当增加抽样数量，抽样基数满足抽样数量即可</w:t>
      </w:r>
      <w:r>
        <w:rPr>
          <w:rFonts w:ascii="方正仿宋_GBK" w:hAnsi="方正仿宋_GBK" w:eastAsia="方正仿宋_GBK"/>
          <w:sz w:val="32"/>
          <w:szCs w:val="32"/>
        </w:rPr>
        <w:t>。</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w:t>
      </w:r>
      <w:r>
        <w:rPr>
          <w:rFonts w:ascii="方正黑体_GBK" w:hAnsi="宋体" w:eastAsia="方正黑体_GBK" w:cs="宋体"/>
          <w:bCs/>
          <w:sz w:val="32"/>
          <w:szCs w:val="32"/>
        </w:rPr>
        <w:t>.</w:t>
      </w:r>
      <w:r>
        <w:rPr>
          <w:rFonts w:hint="eastAsia" w:ascii="方正黑体_GBK" w:hAnsi="宋体" w:eastAsia="方正黑体_GBK" w:cs="宋体"/>
          <w:bCs/>
          <w:sz w:val="32"/>
          <w:szCs w:val="32"/>
          <w:lang w:val="en-US" w:eastAsia="zh-CN"/>
        </w:rPr>
        <w:t>3</w:t>
      </w:r>
      <w:bookmarkStart w:id="2" w:name="_GoBack"/>
      <w:bookmarkEnd w:id="2"/>
      <w:r>
        <w:rPr>
          <w:rFonts w:hint="eastAsia" w:ascii="方正黑体_GBK" w:hAnsi="宋体" w:eastAsia="方正黑体_GBK" w:cs="宋体"/>
          <w:bCs/>
          <w:sz w:val="32"/>
          <w:szCs w:val="32"/>
        </w:rPr>
        <w:t>电商平台抽样</w:t>
      </w:r>
    </w:p>
    <w:p>
      <w:pPr>
        <w:spacing w:line="600" w:lineRule="exact"/>
        <w:ind w:firstLine="640" w:firstLineChars="20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抽样人员以承检机构或消费者名义购买样品，索取并保留有效的购物发票或者凭证。同时，应当用照片、视频或者截屏记录抽样情况。</w:t>
      </w:r>
      <w:bookmarkStart w:id="0" w:name="_Hlk95294563"/>
      <w:r>
        <w:rPr>
          <w:rFonts w:hint="eastAsia" w:ascii="方正仿宋_GBK" w:hAnsi="Times New Roman" w:eastAsia="方正仿宋_GBK"/>
          <w:kern w:val="0"/>
          <w:sz w:val="32"/>
          <w:szCs w:val="32"/>
          <w:shd w:val="clear" w:color="auto" w:fill="FFFFFF"/>
          <w:lang w:bidi="ar"/>
        </w:rPr>
        <w:t>备用样品由承检机构付费购买，封存在承检机构。</w:t>
      </w:r>
      <w:bookmarkEnd w:id="0"/>
      <w:r>
        <w:rPr>
          <w:rFonts w:ascii="方正仿宋_GBK" w:hAnsi="方正仿宋_GBK" w:eastAsia="方正仿宋_GBK"/>
          <w:sz w:val="32"/>
          <w:szCs w:val="32"/>
        </w:rPr>
        <w:t>抽样数量为</w:t>
      </w:r>
      <w:r>
        <w:rPr>
          <w:rFonts w:hint="eastAsia" w:ascii="方正仿宋_GBK" w:hAnsi="方正仿宋_GBK" w:eastAsia="方正仿宋_GBK"/>
          <w:sz w:val="32"/>
          <w:szCs w:val="32"/>
        </w:rPr>
        <w:t>3件/条/套，其中2件/条/套作为检验样品，1件/条/套作为备用样品</w:t>
      </w:r>
      <w:r>
        <w:rPr>
          <w:rFonts w:ascii="方正仿宋_GBK" w:hAnsi="方正仿宋_GBK" w:eastAsia="方正仿宋_GBK"/>
          <w:sz w:val="32"/>
          <w:szCs w:val="32"/>
        </w:rPr>
        <w:t>，</w:t>
      </w:r>
      <w:r>
        <w:rPr>
          <w:rFonts w:hint="eastAsia" w:ascii="方正仿宋_GBK" w:hAnsi="方正仿宋_GBK" w:eastAsia="方正仿宋_GBK"/>
          <w:sz w:val="32"/>
          <w:szCs w:val="32"/>
        </w:rPr>
        <w:t>如样品面积过小，可适当增加抽样数量，抽样基数满足抽样数量即可</w:t>
      </w:r>
      <w:r>
        <w:rPr>
          <w:rFonts w:ascii="方正仿宋_GBK" w:hAnsi="方正仿宋_GBK" w:eastAsia="方正仿宋_GBK"/>
          <w:sz w:val="32"/>
          <w:szCs w:val="32"/>
        </w:rPr>
        <w:t>。</w:t>
      </w:r>
    </w:p>
    <w:p>
      <w:pPr>
        <w:spacing w:line="600" w:lineRule="exact"/>
        <w:ind w:firstLine="640" w:firstLineChars="20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抽样工作由承检机构持“</w:t>
      </w:r>
      <w:r>
        <w:rPr>
          <w:rFonts w:hint="eastAsia" w:ascii="方正仿宋_GBK" w:hAnsi="方正仿宋_GBK" w:eastAsia="方正仿宋_GBK"/>
          <w:sz w:val="32"/>
          <w:szCs w:val="32"/>
        </w:rPr>
        <w:t>江苏省产品质量监督检验员证</w:t>
      </w:r>
      <w:r>
        <w:rPr>
          <w:rFonts w:hint="eastAsia" w:ascii="方正仿宋_GBK" w:hAnsi="Times New Roman" w:eastAsia="方正仿宋_GBK"/>
          <w:kern w:val="0"/>
          <w:sz w:val="32"/>
          <w:szCs w:val="32"/>
          <w:shd w:val="clear" w:color="auto" w:fill="FFFFFF"/>
          <w:lang w:bidi="ar"/>
        </w:rPr>
        <w:t>”的不少于2名工作人员共同完成。一经采样，立即封样，任何人不得调换。</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3.检验依据</w:t>
      </w:r>
    </w:p>
    <w:p>
      <w:pPr>
        <w:widowControl/>
        <w:spacing w:line="600" w:lineRule="exact"/>
        <w:ind w:firstLine="2880" w:firstLineChars="900"/>
        <w:rPr>
          <w:rFonts w:ascii="方正仿宋_GBK" w:eastAsia="方正仿宋_GBK"/>
          <w:color w:val="000000"/>
          <w:sz w:val="32"/>
          <w:szCs w:val="32"/>
        </w:rPr>
      </w:pPr>
      <w:r>
        <w:rPr>
          <w:rFonts w:hint="eastAsia" w:ascii="方正仿宋_GBK" w:eastAsia="方正仿宋_GBK"/>
          <w:color w:val="000000"/>
          <w:sz w:val="32"/>
          <w:szCs w:val="32"/>
        </w:rPr>
        <w:t>表1 检验项目及依据</w:t>
      </w:r>
    </w:p>
    <w:tbl>
      <w:tblPr>
        <w:tblStyle w:val="5"/>
        <w:tblW w:w="97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2693"/>
        <w:gridCol w:w="3118"/>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111"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bookmarkStart w:id="1" w:name="_Hlk95205400"/>
            <w:r>
              <w:rPr>
                <w:rFonts w:hint="eastAsia" w:ascii="方正仿宋_GBK" w:hAnsi="Times New Roman" w:eastAsia="方正仿宋_GBK"/>
                <w:kern w:val="0"/>
                <w:sz w:val="32"/>
                <w:szCs w:val="32"/>
                <w:shd w:val="clear" w:color="auto" w:fill="FFFFFF"/>
                <w:lang w:bidi="ar"/>
              </w:rPr>
              <w:t>序号</w:t>
            </w:r>
          </w:p>
        </w:tc>
        <w:tc>
          <w:tcPr>
            <w:tcW w:w="2693"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检验检测项目</w:t>
            </w:r>
          </w:p>
        </w:tc>
        <w:tc>
          <w:tcPr>
            <w:tcW w:w="3118"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检验检测依据</w:t>
            </w:r>
          </w:p>
        </w:tc>
        <w:tc>
          <w:tcPr>
            <w:tcW w:w="281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111"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w:t>
            </w:r>
          </w:p>
        </w:tc>
        <w:tc>
          <w:tcPr>
            <w:tcW w:w="2693"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甲醛含量</w:t>
            </w:r>
          </w:p>
        </w:tc>
        <w:tc>
          <w:tcPr>
            <w:tcW w:w="3118" w:type="dxa"/>
            <w:vMerge w:val="restart"/>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 31701-2015</w:t>
            </w:r>
          </w:p>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281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111"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2</w:t>
            </w:r>
          </w:p>
        </w:tc>
        <w:tc>
          <w:tcPr>
            <w:tcW w:w="2693"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pH值</w:t>
            </w:r>
          </w:p>
        </w:tc>
        <w:tc>
          <w:tcPr>
            <w:tcW w:w="3118"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1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111"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3</w:t>
            </w:r>
          </w:p>
        </w:tc>
        <w:tc>
          <w:tcPr>
            <w:tcW w:w="2693"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可分解致癌芳香胺染料</w:t>
            </w:r>
          </w:p>
        </w:tc>
        <w:tc>
          <w:tcPr>
            <w:tcW w:w="3118"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1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17592-20</w:t>
            </w:r>
            <w:r>
              <w:rPr>
                <w:rFonts w:ascii="方正仿宋_GBK" w:hAnsi="Times New Roman" w:eastAsia="方正仿宋_GBK"/>
                <w:kern w:val="0"/>
                <w:sz w:val="32"/>
                <w:szCs w:val="32"/>
                <w:shd w:val="clear" w:color="auto" w:fill="FFFFFF"/>
                <w:lang w:bidi="ar"/>
              </w:rPr>
              <w:t>24</w:t>
            </w:r>
          </w:p>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111"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4</w:t>
            </w:r>
          </w:p>
        </w:tc>
        <w:tc>
          <w:tcPr>
            <w:tcW w:w="2693"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耐水色牢度</w:t>
            </w:r>
          </w:p>
        </w:tc>
        <w:tc>
          <w:tcPr>
            <w:tcW w:w="3118"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1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5713-2013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111"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5</w:t>
            </w:r>
          </w:p>
        </w:tc>
        <w:tc>
          <w:tcPr>
            <w:tcW w:w="2693"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耐酸汗渍色牢度</w:t>
            </w:r>
          </w:p>
        </w:tc>
        <w:tc>
          <w:tcPr>
            <w:tcW w:w="3118"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1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111"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6</w:t>
            </w:r>
          </w:p>
        </w:tc>
        <w:tc>
          <w:tcPr>
            <w:tcW w:w="2693"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耐碱汗渍色牢度</w:t>
            </w:r>
          </w:p>
        </w:tc>
        <w:tc>
          <w:tcPr>
            <w:tcW w:w="3118"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1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111"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7</w:t>
            </w:r>
          </w:p>
        </w:tc>
        <w:tc>
          <w:tcPr>
            <w:tcW w:w="2693"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耐干摩擦色牢度</w:t>
            </w:r>
          </w:p>
        </w:tc>
        <w:tc>
          <w:tcPr>
            <w:tcW w:w="3118"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1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111"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8</w:t>
            </w:r>
          </w:p>
        </w:tc>
        <w:tc>
          <w:tcPr>
            <w:tcW w:w="2693"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耐湿摩擦色牢度</w:t>
            </w:r>
          </w:p>
        </w:tc>
        <w:tc>
          <w:tcPr>
            <w:tcW w:w="3118"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1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111"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9</w:t>
            </w:r>
          </w:p>
        </w:tc>
        <w:tc>
          <w:tcPr>
            <w:tcW w:w="2693"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耐唾液色牢度</w:t>
            </w:r>
          </w:p>
        </w:tc>
        <w:tc>
          <w:tcPr>
            <w:tcW w:w="3118"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1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18886-2019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111"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10</w:t>
            </w:r>
          </w:p>
        </w:tc>
        <w:tc>
          <w:tcPr>
            <w:tcW w:w="2693"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重金属（铅、镉）</w:t>
            </w:r>
          </w:p>
        </w:tc>
        <w:tc>
          <w:tcPr>
            <w:tcW w:w="3118" w:type="dxa"/>
            <w:vMerge w:val="restart"/>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 31701-2015</w:t>
            </w:r>
          </w:p>
        </w:tc>
        <w:tc>
          <w:tcPr>
            <w:tcW w:w="281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30157-2013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111"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11</w:t>
            </w:r>
          </w:p>
        </w:tc>
        <w:tc>
          <w:tcPr>
            <w:tcW w:w="2693"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附件抗拉强力</w:t>
            </w:r>
          </w:p>
        </w:tc>
        <w:tc>
          <w:tcPr>
            <w:tcW w:w="3118"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1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 31701-2015附录A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111"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12</w:t>
            </w:r>
          </w:p>
        </w:tc>
        <w:tc>
          <w:tcPr>
            <w:tcW w:w="2693"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附件锐利性</w:t>
            </w:r>
          </w:p>
        </w:tc>
        <w:tc>
          <w:tcPr>
            <w:tcW w:w="3118"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1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31702-2015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111"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13</w:t>
            </w:r>
          </w:p>
        </w:tc>
        <w:tc>
          <w:tcPr>
            <w:tcW w:w="2693"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邻苯二甲酸酯</w:t>
            </w:r>
          </w:p>
        </w:tc>
        <w:tc>
          <w:tcPr>
            <w:tcW w:w="3118"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1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20388-2016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111"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14</w:t>
            </w:r>
          </w:p>
        </w:tc>
        <w:tc>
          <w:tcPr>
            <w:tcW w:w="2693"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燃烧性能</w:t>
            </w:r>
          </w:p>
        </w:tc>
        <w:tc>
          <w:tcPr>
            <w:tcW w:w="3118"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1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14644-2014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111"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15</w:t>
            </w:r>
          </w:p>
        </w:tc>
        <w:tc>
          <w:tcPr>
            <w:tcW w:w="2693"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绳带要求</w:t>
            </w:r>
          </w:p>
        </w:tc>
        <w:tc>
          <w:tcPr>
            <w:tcW w:w="3118"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81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 31701-2015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111"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16</w:t>
            </w:r>
          </w:p>
        </w:tc>
        <w:tc>
          <w:tcPr>
            <w:tcW w:w="2693"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纤维含量</w:t>
            </w:r>
          </w:p>
        </w:tc>
        <w:tc>
          <w:tcPr>
            <w:tcW w:w="3118"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29862-2013相应产品标准</w:t>
            </w:r>
          </w:p>
        </w:tc>
        <w:tc>
          <w:tcPr>
            <w:tcW w:w="281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FZ/T 01057-2007</w:t>
            </w:r>
          </w:p>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2910-2009等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9738" w:type="dxa"/>
            <w:gridSpan w:val="4"/>
            <w:vAlign w:val="center"/>
          </w:tcPr>
          <w:p>
            <w:pPr>
              <w:adjustRightInd w:val="0"/>
              <w:snapToGrid w:val="0"/>
              <w:ind w:left="1280" w:hanging="1280" w:hangingChars="400"/>
              <w:jc w:val="left"/>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备注：1.重金属仅考核含有涂层和涂料印染的织物，指标为铅、镉总量占涂层质量的比值；</w:t>
            </w:r>
          </w:p>
          <w:p>
            <w:pPr>
              <w:adjustRightInd w:val="0"/>
              <w:snapToGrid w:val="0"/>
              <w:ind w:firstLine="960" w:firstLineChars="300"/>
              <w:jc w:val="left"/>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2.针织类产品耐摩擦色牢度只做直向。</w:t>
            </w:r>
          </w:p>
        </w:tc>
      </w:tr>
      <w:bookmarkEnd w:id="1"/>
    </w:tbl>
    <w:p>
      <w:pPr>
        <w:snapToGrid w:val="0"/>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pPr>
        <w:snapToGrid w:val="0"/>
        <w:spacing w:line="600" w:lineRule="exact"/>
        <w:ind w:firstLine="56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4.判定规则</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4.1依据标准</w:t>
      </w:r>
    </w:p>
    <w:p>
      <w:pPr>
        <w:spacing w:line="600" w:lineRule="exact"/>
        <w:ind w:firstLine="640" w:firstLineChars="200"/>
        <w:contextualSpacing/>
        <w:rPr>
          <w:rFonts w:ascii="方正仿宋_GBK" w:hAnsi="Times New Roman" w:eastAsia="方正仿宋_GBK"/>
          <w:sz w:val="32"/>
          <w:szCs w:val="32"/>
        </w:rPr>
      </w:pPr>
      <w:r>
        <w:rPr>
          <w:rFonts w:hint="eastAsia" w:ascii="方正仿宋_GBK" w:hAnsi="Times New Roman" w:eastAsia="方正仿宋_GBK"/>
          <w:sz w:val="32"/>
          <w:szCs w:val="32"/>
        </w:rPr>
        <w:t>GB 31701-2015《婴幼儿及儿童纺织产品安全技术规范》</w:t>
      </w:r>
    </w:p>
    <w:p>
      <w:pPr>
        <w:spacing w:line="600" w:lineRule="exact"/>
        <w:ind w:firstLine="640" w:firstLineChars="200"/>
        <w:contextualSpacing/>
        <w:rPr>
          <w:rFonts w:ascii="方正仿宋_GBK" w:hAnsi="Times New Roman" w:eastAsia="方正仿宋_GBK"/>
          <w:sz w:val="32"/>
          <w:szCs w:val="32"/>
        </w:rPr>
      </w:pPr>
      <w:r>
        <w:rPr>
          <w:rFonts w:hint="eastAsia" w:ascii="方正仿宋_GBK" w:hAnsi="Times New Roman" w:eastAsia="方正仿宋_GBK"/>
          <w:sz w:val="32"/>
          <w:szCs w:val="32"/>
        </w:rPr>
        <w:t>GB/T 29862-2013《纺织品 纤维含量的标识》</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GB/T 26384-2011《针织棉服装》</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GB/T 26385-2011《针织拼接服装》</w:t>
      </w:r>
    </w:p>
    <w:p>
      <w:pPr>
        <w:spacing w:line="600" w:lineRule="exact"/>
        <w:ind w:firstLine="640" w:firstLineChars="200"/>
        <w:rPr>
          <w:rFonts w:ascii="方正仿宋_GBK" w:hAnsi="Times New Roman" w:eastAsia="方正仿宋_GBK"/>
          <w:b/>
          <w:sz w:val="32"/>
          <w:szCs w:val="32"/>
        </w:rPr>
      </w:pPr>
      <w:r>
        <w:rPr>
          <w:rFonts w:hint="eastAsia" w:ascii="方正仿宋_GBK" w:hAnsi="Times New Roman" w:eastAsia="方正仿宋_GBK"/>
          <w:sz w:val="32"/>
          <w:szCs w:val="32"/>
        </w:rPr>
        <w:t>GB/T 33271-2016《机织婴幼儿服装》</w:t>
      </w:r>
    </w:p>
    <w:p>
      <w:pPr>
        <w:spacing w:line="600" w:lineRule="exact"/>
        <w:ind w:firstLine="640" w:firstLineChars="200"/>
        <w:rPr>
          <w:rFonts w:ascii="方正仿宋_GBK" w:hAnsi="Times New Roman" w:eastAsia="方正仿宋_GBK"/>
          <w:b/>
          <w:sz w:val="32"/>
          <w:szCs w:val="32"/>
        </w:rPr>
      </w:pPr>
      <w:r>
        <w:rPr>
          <w:rFonts w:hint="eastAsia" w:ascii="方正仿宋_GBK" w:hAnsi="Times New Roman" w:eastAsia="方正仿宋_GBK"/>
          <w:sz w:val="32"/>
          <w:szCs w:val="32"/>
        </w:rPr>
        <w:t>GB/T 39508-2020《针织婴幼儿及儿童服装》</w:t>
      </w:r>
    </w:p>
    <w:p>
      <w:pPr>
        <w:spacing w:line="600" w:lineRule="exact"/>
        <w:ind w:firstLine="640" w:firstLineChars="200"/>
        <w:rPr>
          <w:rFonts w:ascii="方正仿宋_GBK" w:hAnsi="Times New Roman" w:eastAsia="方正仿宋_GBK"/>
          <w:b/>
          <w:sz w:val="32"/>
          <w:szCs w:val="32"/>
        </w:rPr>
      </w:pPr>
      <w:r>
        <w:rPr>
          <w:rFonts w:hint="eastAsia" w:ascii="方正仿宋_GBK" w:hAnsi="Times New Roman" w:eastAsia="方正仿宋_GBK"/>
          <w:sz w:val="32"/>
          <w:szCs w:val="32"/>
        </w:rPr>
        <w:t>FZ/T 08001-2021《羊毛絮片服装》</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FZ/T 08002-2022《新生儿纺织产品》</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FZ/T 24019-2012《印花羊绒针织品》</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FZ/T 43015-2021《桑蚕丝针织服装》</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FZ/T 73009-2021《山羊绒针织品》</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FZ/T 73025-2019《婴幼儿针织服饰》</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FZ/T 73034-2021《半精纺毛针织品》</w:t>
      </w:r>
    </w:p>
    <w:p>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相关的法律法规、部门规章和规范</w:t>
      </w:r>
      <w:r>
        <w:rPr>
          <w:rFonts w:hint="eastAsia" w:ascii="方正仿宋_GBK" w:hAnsi="Times New Roman" w:eastAsia="方正仿宋_GBK"/>
          <w:sz w:val="32"/>
          <w:szCs w:val="32"/>
        </w:rPr>
        <w:t>》</w:t>
      </w:r>
    </w:p>
    <w:p>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经备案现行有效的企业标准及产品明示的质量要求等</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4.2判定原则</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经检验，检验项目全部合格，判定为被抽查产品未发现不合格；检验项目中任一项或一项以上不合格，判定为被抽查产品不合格。</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5.异议处理</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5.1对监督抽查程序有异议的，由任务下达部门核查相关证据后维持或者撤销原检验结果。</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5.3对样品信息有异议的，任务下达部门核查样品确认情况和生产企业提交证明材料后，维持或者撤销原检验结果。</w:t>
      </w:r>
    </w:p>
    <w:p>
      <w:pPr>
        <w:spacing w:line="600" w:lineRule="exact"/>
        <w:ind w:firstLine="640" w:firstLineChars="200"/>
      </w:pPr>
      <w:r>
        <w:rPr>
          <w:rFonts w:hint="eastAsia" w:ascii="方正仿宋_GBK" w:hAnsi="Times New Roman" w:eastAsia="方正仿宋_GBK"/>
          <w:sz w:val="32"/>
          <w:szCs w:val="32"/>
        </w:rPr>
        <w:t>5.4本次监督抽查项目均可复检</w:t>
      </w:r>
      <w:r>
        <w:rPr>
          <w:rFonts w:hint="eastAsia" w:ascii="方正仿宋_GBK" w:hAnsi="方正仿宋_GBK" w:eastAsia="方正仿宋_GBK" w:cs="方正仿宋_GBK"/>
          <w:sz w:val="32"/>
          <w:szCs w:val="32"/>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7C7F0E"/>
    <w:rsid w:val="0016099F"/>
    <w:rsid w:val="00351856"/>
    <w:rsid w:val="003E41B9"/>
    <w:rsid w:val="004139FB"/>
    <w:rsid w:val="00547642"/>
    <w:rsid w:val="006C78AD"/>
    <w:rsid w:val="007C7F0E"/>
    <w:rsid w:val="00A251E4"/>
    <w:rsid w:val="00AB1354"/>
    <w:rsid w:val="00AE239C"/>
    <w:rsid w:val="00B32474"/>
    <w:rsid w:val="00B7312B"/>
    <w:rsid w:val="00CF51D0"/>
    <w:rsid w:val="00D472E3"/>
    <w:rsid w:val="00F11D99"/>
    <w:rsid w:val="00F75617"/>
    <w:rsid w:val="01610122"/>
    <w:rsid w:val="016A4161"/>
    <w:rsid w:val="02153CAE"/>
    <w:rsid w:val="04583A5F"/>
    <w:rsid w:val="045C4246"/>
    <w:rsid w:val="06236CA2"/>
    <w:rsid w:val="08EB0A30"/>
    <w:rsid w:val="0B3D24FE"/>
    <w:rsid w:val="0CC41A96"/>
    <w:rsid w:val="1180065A"/>
    <w:rsid w:val="16064B6B"/>
    <w:rsid w:val="16D53EBB"/>
    <w:rsid w:val="18290B8F"/>
    <w:rsid w:val="1A116732"/>
    <w:rsid w:val="1A4E54F4"/>
    <w:rsid w:val="1C44339F"/>
    <w:rsid w:val="1D9236E6"/>
    <w:rsid w:val="1FD06747"/>
    <w:rsid w:val="21621621"/>
    <w:rsid w:val="287A0B9F"/>
    <w:rsid w:val="29135BFF"/>
    <w:rsid w:val="2A3A4110"/>
    <w:rsid w:val="2ADA27ED"/>
    <w:rsid w:val="2B5E67F1"/>
    <w:rsid w:val="2E3F0BEE"/>
    <w:rsid w:val="2E690493"/>
    <w:rsid w:val="31D34754"/>
    <w:rsid w:val="325902CD"/>
    <w:rsid w:val="37712C33"/>
    <w:rsid w:val="3887559B"/>
    <w:rsid w:val="3CA57A27"/>
    <w:rsid w:val="3EBA37FA"/>
    <w:rsid w:val="3F8769CB"/>
    <w:rsid w:val="45554E75"/>
    <w:rsid w:val="458D65FF"/>
    <w:rsid w:val="45975C4A"/>
    <w:rsid w:val="4663139F"/>
    <w:rsid w:val="471362A9"/>
    <w:rsid w:val="47290367"/>
    <w:rsid w:val="474D674C"/>
    <w:rsid w:val="4B9B6BDD"/>
    <w:rsid w:val="4C6912E9"/>
    <w:rsid w:val="4D425B5D"/>
    <w:rsid w:val="4E4E17FB"/>
    <w:rsid w:val="4F341127"/>
    <w:rsid w:val="4F9205A5"/>
    <w:rsid w:val="4FE5088D"/>
    <w:rsid w:val="506A3822"/>
    <w:rsid w:val="50E47086"/>
    <w:rsid w:val="51AE4863"/>
    <w:rsid w:val="532B216B"/>
    <w:rsid w:val="56C43C09"/>
    <w:rsid w:val="5A793BB6"/>
    <w:rsid w:val="5A912603"/>
    <w:rsid w:val="5A963D30"/>
    <w:rsid w:val="5B324193"/>
    <w:rsid w:val="5D8B722E"/>
    <w:rsid w:val="5DFE120F"/>
    <w:rsid w:val="5EAC27E5"/>
    <w:rsid w:val="5EE765A7"/>
    <w:rsid w:val="61D97CB9"/>
    <w:rsid w:val="6284477B"/>
    <w:rsid w:val="62F6339C"/>
    <w:rsid w:val="645D3FF3"/>
    <w:rsid w:val="64D42528"/>
    <w:rsid w:val="65E70F67"/>
    <w:rsid w:val="65EE67C8"/>
    <w:rsid w:val="691D75BD"/>
    <w:rsid w:val="6BC35959"/>
    <w:rsid w:val="6E231C40"/>
    <w:rsid w:val="71506ABB"/>
    <w:rsid w:val="746639C2"/>
    <w:rsid w:val="74D53C87"/>
    <w:rsid w:val="789E7E07"/>
    <w:rsid w:val="79381A8F"/>
    <w:rsid w:val="7D060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GTTC</Company>
  <Pages>5</Pages>
  <Words>323</Words>
  <Characters>1843</Characters>
  <Lines>15</Lines>
  <Paragraphs>4</Paragraphs>
  <TotalTime>0</TotalTime>
  <ScaleCrop>false</ScaleCrop>
  <LinksUpToDate>false</LinksUpToDate>
  <CharactersWithSpaces>2162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2024-01-26T06:08:00Z</dcterms:created>
  <dc:creator>Administrator</dc:creator>
  <cp:lastModifiedBy>乌咪</cp:lastModifiedBy>
  <dcterms:modified xsi:type="dcterms:W3CDTF">2025-04-29T07:42:00Z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FA0AB0357F07415D8DE3DB92C0AA3C79_13</vt:lpwstr>
  </property>
</Properties>
</file>