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258A6B">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ascii="方正仿宋_GBK" w:hAnsi="方正仿宋_GBK" w:eastAsia="方正仿宋_GBK" w:cs="方正仿宋_GBK"/>
          <w:kern w:val="2"/>
          <w:sz w:val="44"/>
          <w:szCs w:val="44"/>
          <w:lang w:val="en-US" w:bidi="ar-SA"/>
        </w:rPr>
      </w:pPr>
      <w:r>
        <w:rPr>
          <w:rFonts w:hint="eastAsia" w:ascii="方正小标宋_GBK" w:hAnsi="方正小标宋_GBK" w:eastAsia="方正小标宋_GBK" w:cs="方正小标宋_GBK"/>
          <w:color w:val="000000"/>
          <w:kern w:val="2"/>
          <w:sz w:val="44"/>
          <w:szCs w:val="44"/>
          <w:lang w:val="en-US" w:bidi="ar-SA"/>
        </w:rPr>
        <w:t>202</w:t>
      </w:r>
      <w:r>
        <w:rPr>
          <w:rFonts w:hint="eastAsia" w:ascii="方正小标宋_GBK" w:hAnsi="方正小标宋_GBK" w:eastAsia="方正小标宋_GBK" w:cs="方正小标宋_GBK"/>
          <w:color w:val="000000"/>
          <w:kern w:val="2"/>
          <w:sz w:val="44"/>
          <w:szCs w:val="44"/>
          <w:lang w:val="en-US" w:eastAsia="zh-CN" w:bidi="ar-SA"/>
        </w:rPr>
        <w:t>5</w:t>
      </w:r>
      <w:r>
        <w:rPr>
          <w:rFonts w:hint="eastAsia" w:ascii="方正小标宋_GBK" w:hAnsi="方正小标宋_GBK" w:eastAsia="方正小标宋_GBK" w:cs="方正小标宋_GBK"/>
          <w:color w:val="000000"/>
          <w:kern w:val="2"/>
          <w:sz w:val="44"/>
          <w:szCs w:val="44"/>
          <w:lang w:val="en-US" w:bidi="ar-SA"/>
        </w:rPr>
        <w:t>年南通市消防应急灯具产品质量监督抽查实施细则</w:t>
      </w:r>
    </w:p>
    <w:p w14:paraId="52568AF5">
      <w:pPr>
        <w:keepNext w:val="0"/>
        <w:keepLines w:val="0"/>
        <w:pageBreakBefore w:val="0"/>
        <w:widowControl w:val="0"/>
        <w:kinsoku/>
        <w:wordWrap/>
        <w:overflowPunct/>
        <w:topLinePunct w:val="0"/>
        <w:bidi w:val="0"/>
        <w:adjustRightInd/>
        <w:spacing w:line="600" w:lineRule="exact"/>
        <w:ind w:firstLine="640" w:firstLineChars="200"/>
        <w:textAlignment w:val="auto"/>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1.范围</w:t>
      </w:r>
    </w:p>
    <w:p w14:paraId="55B55D79">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本细则适用于南通市市场监督管理</w:t>
      </w:r>
      <w:bookmarkStart w:id="0" w:name="_GoBack"/>
      <w:bookmarkEnd w:id="0"/>
      <w:r>
        <w:rPr>
          <w:rFonts w:hint="eastAsia" w:ascii="方正仿宋_GBK" w:hAnsi="方正仿宋_GBK" w:eastAsia="方正仿宋_GBK" w:cs="方正仿宋_GBK"/>
          <w:kern w:val="2"/>
          <w:sz w:val="32"/>
          <w:szCs w:val="32"/>
          <w:lang w:val="en-US" w:bidi="ar-SA"/>
        </w:rPr>
        <w:t>局组织的消防应急灯具产品质量监督抽查。本细则规定了此产品的抽样方法、检验依据、检验项目、检验方法、判定原则、异议处理及复检。</w:t>
      </w:r>
    </w:p>
    <w:p w14:paraId="3F900A5E">
      <w:pPr>
        <w:keepNext w:val="0"/>
        <w:keepLines w:val="0"/>
        <w:pageBreakBefore w:val="0"/>
        <w:widowControl w:val="0"/>
        <w:kinsoku/>
        <w:wordWrap/>
        <w:overflowPunct/>
        <w:topLinePunct w:val="0"/>
        <w:bidi w:val="0"/>
        <w:adjustRightInd/>
        <w:spacing w:line="600" w:lineRule="exact"/>
        <w:ind w:firstLine="640" w:firstLineChars="200"/>
        <w:textAlignment w:val="auto"/>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2.抽样方法</w:t>
      </w:r>
    </w:p>
    <w:p w14:paraId="1A51A7DA">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生产企业抽样、实体店抽样</w:t>
      </w:r>
    </w:p>
    <w:p w14:paraId="5A8523B6">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在受检企业的成品仓库或者其确认场所，随机抽取有产品质量检验合格证明或者其他形式表明合格的待销产品，实体店买样需索取发票等购样凭据留证。消防应急灯具产品抽样数量为</w:t>
      </w:r>
      <w:r>
        <w:rPr>
          <w:rFonts w:ascii="方正仿宋_GBK" w:hAnsi="方正仿宋_GBK" w:eastAsia="方正仿宋_GBK" w:cs="方正仿宋_GBK"/>
          <w:kern w:val="2"/>
          <w:sz w:val="32"/>
          <w:szCs w:val="32"/>
          <w:lang w:bidi="ar-SA"/>
        </w:rPr>
        <w:t>4</w:t>
      </w:r>
      <w:r>
        <w:rPr>
          <w:rFonts w:hint="eastAsia" w:ascii="方正仿宋_GBK" w:hAnsi="方正仿宋_GBK" w:eastAsia="方正仿宋_GBK" w:cs="方正仿宋_GBK"/>
          <w:kern w:val="2"/>
          <w:sz w:val="32"/>
          <w:szCs w:val="32"/>
          <w:lang w:val="en-US" w:bidi="ar-SA"/>
        </w:rPr>
        <w:t>只，其中</w:t>
      </w:r>
      <w:r>
        <w:rPr>
          <w:rFonts w:ascii="方正仿宋_GBK" w:hAnsi="方正仿宋_GBK" w:eastAsia="方正仿宋_GBK" w:cs="方正仿宋_GBK"/>
          <w:kern w:val="2"/>
          <w:sz w:val="32"/>
          <w:szCs w:val="32"/>
          <w:lang w:bidi="ar-SA"/>
        </w:rPr>
        <w:t>2</w:t>
      </w:r>
      <w:r>
        <w:rPr>
          <w:rFonts w:hint="eastAsia" w:ascii="方正仿宋_GBK" w:hAnsi="方正仿宋_GBK" w:eastAsia="方正仿宋_GBK" w:cs="方正仿宋_GBK"/>
          <w:kern w:val="2"/>
          <w:sz w:val="32"/>
          <w:szCs w:val="32"/>
          <w:lang w:val="en-US" w:bidi="ar-SA"/>
        </w:rPr>
        <w:t>只为检验样品，</w:t>
      </w:r>
      <w:r>
        <w:rPr>
          <w:rFonts w:ascii="方正仿宋_GBK" w:hAnsi="方正仿宋_GBK" w:eastAsia="方正仿宋_GBK" w:cs="方正仿宋_GBK"/>
          <w:kern w:val="2"/>
          <w:sz w:val="32"/>
          <w:szCs w:val="32"/>
          <w:lang w:bidi="ar-SA"/>
        </w:rPr>
        <w:t>2</w:t>
      </w:r>
      <w:r>
        <w:rPr>
          <w:rFonts w:hint="eastAsia" w:ascii="方正仿宋_GBK" w:hAnsi="方正仿宋_GBK" w:eastAsia="方正仿宋_GBK" w:cs="方正仿宋_GBK"/>
          <w:kern w:val="2"/>
          <w:sz w:val="32"/>
          <w:szCs w:val="32"/>
          <w:lang w:val="en-US" w:bidi="ar-SA"/>
        </w:rPr>
        <w:t>只为备用样品。抽样基数满足抽样数量即可。</w:t>
      </w:r>
    </w:p>
    <w:p w14:paraId="151BE616">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抽样工作由承检机构持“江苏省产品质量监督检验员证”的不少于2名工作人员共同完成。抽样过程均需拍照留证。一经抽样，立即封样，任何人不得调换。</w:t>
      </w:r>
    </w:p>
    <w:p w14:paraId="19CF533F">
      <w:pPr>
        <w:keepNext w:val="0"/>
        <w:keepLines w:val="0"/>
        <w:pageBreakBefore w:val="0"/>
        <w:widowControl w:val="0"/>
        <w:kinsoku/>
        <w:wordWrap/>
        <w:overflowPunct/>
        <w:topLinePunct w:val="0"/>
        <w:bidi w:val="0"/>
        <w:adjustRightInd/>
        <w:spacing w:line="600" w:lineRule="exact"/>
        <w:ind w:firstLine="640" w:firstLineChars="200"/>
        <w:textAlignment w:val="auto"/>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3.检验依据</w:t>
      </w:r>
    </w:p>
    <w:p w14:paraId="75940724">
      <w:pPr>
        <w:keepNext w:val="0"/>
        <w:keepLines w:val="0"/>
        <w:pageBreakBefore w:val="0"/>
        <w:widowControl w:val="0"/>
        <w:kinsoku/>
        <w:wordWrap/>
        <w:overflowPunct/>
        <w:topLinePunct w:val="0"/>
        <w:autoSpaceDE/>
        <w:autoSpaceDN/>
        <w:bidi w:val="0"/>
        <w:adjustRightInd/>
        <w:spacing w:line="600" w:lineRule="exact"/>
        <w:ind w:firstLine="640" w:firstLineChars="200"/>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表1消防应急灯具产品检验项目</w:t>
      </w:r>
    </w:p>
    <w:tbl>
      <w:tblPr>
        <w:tblStyle w:val="13"/>
        <w:tblW w:w="908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29"/>
        <w:gridCol w:w="4421"/>
        <w:gridCol w:w="1930"/>
        <w:gridCol w:w="1903"/>
      </w:tblGrid>
      <w:tr w14:paraId="5E0A51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00" w:hRule="atLeast"/>
          <w:jc w:val="center"/>
        </w:trPr>
        <w:tc>
          <w:tcPr>
            <w:tcW w:w="829" w:type="dxa"/>
            <w:vMerge w:val="restart"/>
            <w:vAlign w:val="center"/>
          </w:tcPr>
          <w:p w14:paraId="0C48FE90">
            <w:pPr>
              <w:keepNext w:val="0"/>
              <w:keepLines w:val="0"/>
              <w:pageBreakBefore w:val="0"/>
              <w:widowControl w:val="0"/>
              <w:kinsoku/>
              <w:wordWrap/>
              <w:overflowPunct/>
              <w:topLinePunct w:val="0"/>
              <w:autoSpaceDE/>
              <w:autoSpaceDN/>
              <w:bidi w:val="0"/>
              <w:adjustRightInd/>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序号</w:t>
            </w:r>
          </w:p>
        </w:tc>
        <w:tc>
          <w:tcPr>
            <w:tcW w:w="4421" w:type="dxa"/>
            <w:vMerge w:val="restart"/>
            <w:vAlign w:val="center"/>
          </w:tcPr>
          <w:p w14:paraId="27781C27">
            <w:pPr>
              <w:keepNext w:val="0"/>
              <w:keepLines w:val="0"/>
              <w:pageBreakBefore w:val="0"/>
              <w:widowControl w:val="0"/>
              <w:kinsoku/>
              <w:wordWrap/>
              <w:overflowPunct/>
              <w:topLinePunct w:val="0"/>
              <w:autoSpaceDE/>
              <w:autoSpaceDN/>
              <w:bidi w:val="0"/>
              <w:adjustRightInd/>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检验项目</w:t>
            </w:r>
          </w:p>
        </w:tc>
        <w:tc>
          <w:tcPr>
            <w:tcW w:w="1930" w:type="dxa"/>
            <w:vMerge w:val="restart"/>
            <w:vAlign w:val="center"/>
          </w:tcPr>
          <w:p w14:paraId="6CCE60FC">
            <w:pPr>
              <w:keepNext w:val="0"/>
              <w:keepLines w:val="0"/>
              <w:pageBreakBefore w:val="0"/>
              <w:widowControl w:val="0"/>
              <w:kinsoku/>
              <w:wordWrap/>
              <w:overflowPunct/>
              <w:topLinePunct w:val="0"/>
              <w:autoSpaceDE/>
              <w:autoSpaceDN/>
              <w:bidi w:val="0"/>
              <w:adjustRightInd/>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判定依据</w:t>
            </w:r>
          </w:p>
        </w:tc>
        <w:tc>
          <w:tcPr>
            <w:tcW w:w="1903" w:type="dxa"/>
            <w:vMerge w:val="restart"/>
            <w:vAlign w:val="center"/>
          </w:tcPr>
          <w:p w14:paraId="4662AA7E">
            <w:pPr>
              <w:keepNext w:val="0"/>
              <w:keepLines w:val="0"/>
              <w:pageBreakBefore w:val="0"/>
              <w:widowControl w:val="0"/>
              <w:kinsoku/>
              <w:wordWrap/>
              <w:overflowPunct/>
              <w:topLinePunct w:val="0"/>
              <w:autoSpaceDE/>
              <w:autoSpaceDN/>
              <w:bidi w:val="0"/>
              <w:adjustRightInd/>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检测方法</w:t>
            </w:r>
          </w:p>
        </w:tc>
      </w:tr>
      <w:tr w14:paraId="63DD79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00" w:hRule="atLeast"/>
          <w:jc w:val="center"/>
        </w:trPr>
        <w:tc>
          <w:tcPr>
            <w:tcW w:w="829" w:type="dxa"/>
            <w:vMerge w:val="continue"/>
            <w:tcBorders>
              <w:top w:val="nil"/>
            </w:tcBorders>
            <w:vAlign w:val="center"/>
          </w:tcPr>
          <w:p w14:paraId="6B65332D">
            <w:pPr>
              <w:keepNext w:val="0"/>
              <w:keepLines w:val="0"/>
              <w:pageBreakBefore w:val="0"/>
              <w:widowControl w:val="0"/>
              <w:kinsoku/>
              <w:wordWrap/>
              <w:overflowPunct/>
              <w:topLinePunct w:val="0"/>
              <w:autoSpaceDE/>
              <w:autoSpaceDN/>
              <w:bidi w:val="0"/>
              <w:adjustRightInd/>
              <w:spacing w:line="600" w:lineRule="exact"/>
              <w:ind w:firstLine="640" w:firstLineChars="200"/>
              <w:jc w:val="center"/>
              <w:textAlignment w:val="auto"/>
              <w:rPr>
                <w:rFonts w:ascii="方正仿宋_GBK" w:hAnsi="方正仿宋_GBK" w:eastAsia="方正仿宋_GBK" w:cs="方正仿宋_GBK"/>
                <w:kern w:val="2"/>
                <w:sz w:val="32"/>
                <w:szCs w:val="32"/>
                <w:lang w:val="en-US" w:bidi="ar-SA"/>
              </w:rPr>
            </w:pPr>
          </w:p>
        </w:tc>
        <w:tc>
          <w:tcPr>
            <w:tcW w:w="4421" w:type="dxa"/>
            <w:vMerge w:val="continue"/>
            <w:tcBorders>
              <w:top w:val="nil"/>
            </w:tcBorders>
            <w:vAlign w:val="center"/>
          </w:tcPr>
          <w:p w14:paraId="71EC6AF7">
            <w:pPr>
              <w:keepNext w:val="0"/>
              <w:keepLines w:val="0"/>
              <w:pageBreakBefore w:val="0"/>
              <w:widowControl w:val="0"/>
              <w:kinsoku/>
              <w:wordWrap/>
              <w:overflowPunct/>
              <w:topLinePunct w:val="0"/>
              <w:autoSpaceDE/>
              <w:autoSpaceDN/>
              <w:bidi w:val="0"/>
              <w:adjustRightInd/>
              <w:spacing w:line="600" w:lineRule="exact"/>
              <w:ind w:firstLine="640" w:firstLineChars="200"/>
              <w:jc w:val="center"/>
              <w:textAlignment w:val="auto"/>
              <w:rPr>
                <w:rFonts w:ascii="方正仿宋_GBK" w:hAnsi="方正仿宋_GBK" w:eastAsia="方正仿宋_GBK" w:cs="方正仿宋_GBK"/>
                <w:kern w:val="2"/>
                <w:sz w:val="32"/>
                <w:szCs w:val="32"/>
                <w:lang w:val="en-US" w:bidi="ar-SA"/>
              </w:rPr>
            </w:pPr>
          </w:p>
        </w:tc>
        <w:tc>
          <w:tcPr>
            <w:tcW w:w="1930" w:type="dxa"/>
            <w:vMerge w:val="continue"/>
            <w:tcBorders>
              <w:top w:val="nil"/>
            </w:tcBorders>
            <w:vAlign w:val="center"/>
          </w:tcPr>
          <w:p w14:paraId="4F6B811A">
            <w:pPr>
              <w:keepNext w:val="0"/>
              <w:keepLines w:val="0"/>
              <w:pageBreakBefore w:val="0"/>
              <w:widowControl w:val="0"/>
              <w:kinsoku/>
              <w:wordWrap/>
              <w:overflowPunct/>
              <w:topLinePunct w:val="0"/>
              <w:autoSpaceDE/>
              <w:autoSpaceDN/>
              <w:bidi w:val="0"/>
              <w:adjustRightInd/>
              <w:spacing w:line="600" w:lineRule="exact"/>
              <w:ind w:firstLine="640" w:firstLineChars="200"/>
              <w:jc w:val="center"/>
              <w:textAlignment w:val="auto"/>
              <w:rPr>
                <w:rFonts w:ascii="方正仿宋_GBK" w:hAnsi="方正仿宋_GBK" w:eastAsia="方正仿宋_GBK" w:cs="方正仿宋_GBK"/>
                <w:kern w:val="2"/>
                <w:sz w:val="32"/>
                <w:szCs w:val="32"/>
                <w:lang w:val="en-US" w:bidi="ar-SA"/>
              </w:rPr>
            </w:pPr>
          </w:p>
        </w:tc>
        <w:tc>
          <w:tcPr>
            <w:tcW w:w="1903" w:type="dxa"/>
            <w:vMerge w:val="continue"/>
            <w:tcBorders>
              <w:top w:val="nil"/>
            </w:tcBorders>
            <w:vAlign w:val="center"/>
          </w:tcPr>
          <w:p w14:paraId="405F2D38">
            <w:pPr>
              <w:keepNext w:val="0"/>
              <w:keepLines w:val="0"/>
              <w:pageBreakBefore w:val="0"/>
              <w:widowControl w:val="0"/>
              <w:kinsoku/>
              <w:wordWrap/>
              <w:overflowPunct/>
              <w:topLinePunct w:val="0"/>
              <w:autoSpaceDE/>
              <w:autoSpaceDN/>
              <w:bidi w:val="0"/>
              <w:adjustRightInd/>
              <w:spacing w:line="600" w:lineRule="exact"/>
              <w:ind w:firstLine="640" w:firstLineChars="200"/>
              <w:jc w:val="center"/>
              <w:textAlignment w:val="auto"/>
              <w:rPr>
                <w:rFonts w:ascii="方正仿宋_GBK" w:hAnsi="方正仿宋_GBK" w:eastAsia="方正仿宋_GBK" w:cs="方正仿宋_GBK"/>
                <w:kern w:val="2"/>
                <w:sz w:val="32"/>
                <w:szCs w:val="32"/>
                <w:lang w:val="en-US" w:bidi="ar-SA"/>
              </w:rPr>
            </w:pPr>
          </w:p>
        </w:tc>
      </w:tr>
      <w:tr w14:paraId="374C92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3" w:hRule="atLeast"/>
          <w:jc w:val="center"/>
        </w:trPr>
        <w:tc>
          <w:tcPr>
            <w:tcW w:w="829" w:type="dxa"/>
            <w:vAlign w:val="center"/>
          </w:tcPr>
          <w:p w14:paraId="70251F7A">
            <w:pPr>
              <w:keepNext w:val="0"/>
              <w:keepLines w:val="0"/>
              <w:pageBreakBefore w:val="0"/>
              <w:widowControl w:val="0"/>
              <w:kinsoku/>
              <w:wordWrap/>
              <w:overflowPunct/>
              <w:topLinePunct w:val="0"/>
              <w:autoSpaceDE/>
              <w:autoSpaceDN/>
              <w:bidi w:val="0"/>
              <w:adjustRightInd/>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1</w:t>
            </w:r>
          </w:p>
        </w:tc>
        <w:tc>
          <w:tcPr>
            <w:tcW w:w="4421" w:type="dxa"/>
            <w:vAlign w:val="center"/>
          </w:tcPr>
          <w:p w14:paraId="6B4E2F6F">
            <w:pPr>
              <w:keepNext w:val="0"/>
              <w:keepLines w:val="0"/>
              <w:pageBreakBefore w:val="0"/>
              <w:widowControl w:val="0"/>
              <w:kinsoku/>
              <w:wordWrap/>
              <w:overflowPunct/>
              <w:topLinePunct w:val="0"/>
              <w:bidi w:val="0"/>
              <w:adjustRightInd/>
              <w:snapToGrid w:val="0"/>
              <w:spacing w:line="600" w:lineRule="exact"/>
              <w:jc w:val="center"/>
              <w:textAlignment w:val="auto"/>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bidi="ar-SA"/>
              </w:rPr>
              <w:t>标志</w:t>
            </w:r>
          </w:p>
        </w:tc>
        <w:tc>
          <w:tcPr>
            <w:tcW w:w="1930" w:type="dxa"/>
            <w:vMerge w:val="restart"/>
            <w:vAlign w:val="center"/>
          </w:tcPr>
          <w:p w14:paraId="127248FF">
            <w:pPr>
              <w:keepNext w:val="0"/>
              <w:keepLines w:val="0"/>
              <w:pageBreakBefore w:val="0"/>
              <w:widowControl w:val="0"/>
              <w:kinsoku/>
              <w:wordWrap/>
              <w:overflowPunct/>
              <w:topLinePunct w:val="0"/>
              <w:autoSpaceDE/>
              <w:autoSpaceDN/>
              <w:bidi w:val="0"/>
              <w:adjustRightInd/>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sz w:val="32"/>
                <w:szCs w:val="32"/>
              </w:rPr>
              <w:t>GB 17945-2010</w:t>
            </w:r>
          </w:p>
        </w:tc>
        <w:tc>
          <w:tcPr>
            <w:tcW w:w="1903" w:type="dxa"/>
            <w:vMerge w:val="restart"/>
            <w:vAlign w:val="center"/>
          </w:tcPr>
          <w:p w14:paraId="2824354B">
            <w:pPr>
              <w:keepNext w:val="0"/>
              <w:keepLines w:val="0"/>
              <w:pageBreakBefore w:val="0"/>
              <w:widowControl w:val="0"/>
              <w:kinsoku/>
              <w:wordWrap/>
              <w:overflowPunct/>
              <w:topLinePunct w:val="0"/>
              <w:autoSpaceDE/>
              <w:autoSpaceDN/>
              <w:bidi w:val="0"/>
              <w:adjustRightInd/>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sz w:val="32"/>
                <w:szCs w:val="32"/>
              </w:rPr>
              <w:t>GB 17945-2010</w:t>
            </w:r>
          </w:p>
        </w:tc>
      </w:tr>
      <w:tr w14:paraId="45B480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3" w:hRule="atLeast"/>
          <w:jc w:val="center"/>
        </w:trPr>
        <w:tc>
          <w:tcPr>
            <w:tcW w:w="829" w:type="dxa"/>
            <w:vAlign w:val="center"/>
          </w:tcPr>
          <w:p w14:paraId="18C231B9">
            <w:pPr>
              <w:keepNext w:val="0"/>
              <w:keepLines w:val="0"/>
              <w:pageBreakBefore w:val="0"/>
              <w:widowControl w:val="0"/>
              <w:kinsoku/>
              <w:wordWrap/>
              <w:overflowPunct/>
              <w:topLinePunct w:val="0"/>
              <w:autoSpaceDE/>
              <w:autoSpaceDN/>
              <w:bidi w:val="0"/>
              <w:adjustRightInd/>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2</w:t>
            </w:r>
          </w:p>
        </w:tc>
        <w:tc>
          <w:tcPr>
            <w:tcW w:w="4421" w:type="dxa"/>
            <w:vAlign w:val="center"/>
          </w:tcPr>
          <w:p w14:paraId="666B1DDC">
            <w:pPr>
              <w:keepNext w:val="0"/>
              <w:keepLines w:val="0"/>
              <w:pageBreakBefore w:val="0"/>
              <w:widowControl w:val="0"/>
              <w:kinsoku/>
              <w:wordWrap/>
              <w:overflowPunct/>
              <w:topLinePunct w:val="0"/>
              <w:bidi w:val="0"/>
              <w:adjustRightInd/>
              <w:snapToGrid w:val="0"/>
              <w:spacing w:line="600" w:lineRule="exact"/>
              <w:jc w:val="center"/>
              <w:textAlignment w:val="auto"/>
              <w:rPr>
                <w:rFonts w:ascii="方正仿宋_GBK" w:hAnsi="方正仿宋_GBK" w:eastAsia="方正仿宋_GBK" w:cs="方正仿宋_GBK"/>
                <w:sz w:val="32"/>
                <w:szCs w:val="32"/>
                <w:lang w:val="en-US" w:bidi="ar-SA"/>
              </w:rPr>
            </w:pPr>
            <w:r>
              <w:rPr>
                <w:rFonts w:hint="eastAsia" w:ascii="方正仿宋_GBK" w:hAnsi="方正仿宋_GBK" w:eastAsia="方正仿宋_GBK" w:cs="方正仿宋_GBK"/>
                <w:sz w:val="32"/>
                <w:szCs w:val="32"/>
                <w:lang w:val="en-US" w:bidi="ar-SA"/>
              </w:rPr>
              <w:t>基本功能试验（7.2.2.2应急工作时间、7.2.2.3表面亮度、7.2.2.4应急光通量、7.2.2.5非正常状态）</w:t>
            </w:r>
          </w:p>
        </w:tc>
        <w:tc>
          <w:tcPr>
            <w:tcW w:w="1930" w:type="dxa"/>
            <w:vMerge w:val="continue"/>
            <w:vAlign w:val="center"/>
          </w:tcPr>
          <w:p w14:paraId="56CA9C40">
            <w:pPr>
              <w:keepNext w:val="0"/>
              <w:keepLines w:val="0"/>
              <w:pageBreakBefore w:val="0"/>
              <w:widowControl w:val="0"/>
              <w:kinsoku/>
              <w:wordWrap/>
              <w:overflowPunct/>
              <w:topLinePunct w:val="0"/>
              <w:autoSpaceDE/>
              <w:autoSpaceDN/>
              <w:bidi w:val="0"/>
              <w:adjustRightInd/>
              <w:spacing w:line="600" w:lineRule="exact"/>
              <w:ind w:firstLine="640" w:firstLineChars="200"/>
              <w:jc w:val="center"/>
              <w:textAlignment w:val="auto"/>
              <w:rPr>
                <w:rFonts w:ascii="方正仿宋_GBK" w:hAnsi="方正仿宋_GBK" w:eastAsia="方正仿宋_GBK" w:cs="方正仿宋_GBK"/>
                <w:kern w:val="2"/>
                <w:sz w:val="32"/>
                <w:szCs w:val="32"/>
                <w:lang w:val="en-US" w:bidi="ar-SA"/>
              </w:rPr>
            </w:pPr>
          </w:p>
        </w:tc>
        <w:tc>
          <w:tcPr>
            <w:tcW w:w="1903" w:type="dxa"/>
            <w:vMerge w:val="continue"/>
            <w:vAlign w:val="center"/>
          </w:tcPr>
          <w:p w14:paraId="458E1ADA">
            <w:pPr>
              <w:keepNext w:val="0"/>
              <w:keepLines w:val="0"/>
              <w:pageBreakBefore w:val="0"/>
              <w:widowControl w:val="0"/>
              <w:kinsoku/>
              <w:wordWrap/>
              <w:overflowPunct/>
              <w:topLinePunct w:val="0"/>
              <w:autoSpaceDE/>
              <w:autoSpaceDN/>
              <w:bidi w:val="0"/>
              <w:adjustRightInd/>
              <w:spacing w:line="600" w:lineRule="exact"/>
              <w:ind w:firstLine="640" w:firstLineChars="200"/>
              <w:jc w:val="center"/>
              <w:textAlignment w:val="auto"/>
              <w:rPr>
                <w:rFonts w:ascii="方正仿宋_GBK" w:hAnsi="方正仿宋_GBK" w:eastAsia="方正仿宋_GBK" w:cs="方正仿宋_GBK"/>
                <w:kern w:val="2"/>
                <w:sz w:val="32"/>
                <w:szCs w:val="32"/>
                <w:lang w:val="en-US" w:bidi="ar-SA"/>
              </w:rPr>
            </w:pPr>
          </w:p>
        </w:tc>
      </w:tr>
      <w:tr w14:paraId="69D692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3" w:hRule="atLeast"/>
          <w:jc w:val="center"/>
        </w:trPr>
        <w:tc>
          <w:tcPr>
            <w:tcW w:w="829" w:type="dxa"/>
            <w:vAlign w:val="center"/>
          </w:tcPr>
          <w:p w14:paraId="64E55F9F">
            <w:pPr>
              <w:keepNext w:val="0"/>
              <w:keepLines w:val="0"/>
              <w:pageBreakBefore w:val="0"/>
              <w:widowControl w:val="0"/>
              <w:kinsoku/>
              <w:wordWrap/>
              <w:overflowPunct/>
              <w:topLinePunct w:val="0"/>
              <w:autoSpaceDE/>
              <w:autoSpaceDN/>
              <w:bidi w:val="0"/>
              <w:adjustRightInd/>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3</w:t>
            </w:r>
          </w:p>
        </w:tc>
        <w:tc>
          <w:tcPr>
            <w:tcW w:w="4421" w:type="dxa"/>
            <w:vAlign w:val="center"/>
          </w:tcPr>
          <w:p w14:paraId="1F3E0708">
            <w:pPr>
              <w:keepNext w:val="0"/>
              <w:keepLines w:val="0"/>
              <w:pageBreakBefore w:val="0"/>
              <w:widowControl w:val="0"/>
              <w:kinsoku/>
              <w:wordWrap/>
              <w:overflowPunct/>
              <w:topLinePunct w:val="0"/>
              <w:bidi w:val="0"/>
              <w:adjustRightInd/>
              <w:snapToGrid w:val="0"/>
              <w:spacing w:line="600" w:lineRule="exact"/>
              <w:jc w:val="center"/>
              <w:textAlignment w:val="auto"/>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bidi="ar-SA"/>
              </w:rPr>
              <w:t>重复转换试验</w:t>
            </w:r>
          </w:p>
        </w:tc>
        <w:tc>
          <w:tcPr>
            <w:tcW w:w="1930" w:type="dxa"/>
            <w:vMerge w:val="continue"/>
            <w:vAlign w:val="center"/>
          </w:tcPr>
          <w:p w14:paraId="43F08696">
            <w:pPr>
              <w:keepNext w:val="0"/>
              <w:keepLines w:val="0"/>
              <w:pageBreakBefore w:val="0"/>
              <w:widowControl w:val="0"/>
              <w:kinsoku/>
              <w:wordWrap/>
              <w:overflowPunct/>
              <w:topLinePunct w:val="0"/>
              <w:autoSpaceDE/>
              <w:autoSpaceDN/>
              <w:bidi w:val="0"/>
              <w:adjustRightInd/>
              <w:spacing w:line="600" w:lineRule="exact"/>
              <w:ind w:firstLine="640" w:firstLineChars="200"/>
              <w:jc w:val="center"/>
              <w:textAlignment w:val="auto"/>
              <w:rPr>
                <w:rFonts w:ascii="方正仿宋_GBK" w:hAnsi="方正仿宋_GBK" w:eastAsia="方正仿宋_GBK" w:cs="方正仿宋_GBK"/>
                <w:kern w:val="2"/>
                <w:sz w:val="32"/>
                <w:szCs w:val="32"/>
                <w:lang w:val="en-US" w:bidi="ar-SA"/>
              </w:rPr>
            </w:pPr>
          </w:p>
        </w:tc>
        <w:tc>
          <w:tcPr>
            <w:tcW w:w="1903" w:type="dxa"/>
            <w:vMerge w:val="continue"/>
            <w:vAlign w:val="center"/>
          </w:tcPr>
          <w:p w14:paraId="163E0102">
            <w:pPr>
              <w:keepNext w:val="0"/>
              <w:keepLines w:val="0"/>
              <w:pageBreakBefore w:val="0"/>
              <w:widowControl w:val="0"/>
              <w:kinsoku/>
              <w:wordWrap/>
              <w:overflowPunct/>
              <w:topLinePunct w:val="0"/>
              <w:autoSpaceDE/>
              <w:autoSpaceDN/>
              <w:bidi w:val="0"/>
              <w:adjustRightInd/>
              <w:spacing w:line="600" w:lineRule="exact"/>
              <w:ind w:firstLine="640" w:firstLineChars="200"/>
              <w:jc w:val="center"/>
              <w:textAlignment w:val="auto"/>
              <w:rPr>
                <w:rFonts w:ascii="方正仿宋_GBK" w:hAnsi="方正仿宋_GBK" w:eastAsia="方正仿宋_GBK" w:cs="方正仿宋_GBK"/>
                <w:kern w:val="2"/>
                <w:sz w:val="32"/>
                <w:szCs w:val="32"/>
                <w:lang w:val="en-US" w:bidi="ar-SA"/>
              </w:rPr>
            </w:pPr>
          </w:p>
        </w:tc>
      </w:tr>
      <w:tr w14:paraId="66BD1D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3" w:hRule="atLeast"/>
          <w:jc w:val="center"/>
        </w:trPr>
        <w:tc>
          <w:tcPr>
            <w:tcW w:w="829" w:type="dxa"/>
            <w:vAlign w:val="center"/>
          </w:tcPr>
          <w:p w14:paraId="1AFCD552">
            <w:pPr>
              <w:keepNext w:val="0"/>
              <w:keepLines w:val="0"/>
              <w:pageBreakBefore w:val="0"/>
              <w:widowControl w:val="0"/>
              <w:kinsoku/>
              <w:wordWrap/>
              <w:overflowPunct/>
              <w:topLinePunct w:val="0"/>
              <w:autoSpaceDE/>
              <w:autoSpaceDN/>
              <w:bidi w:val="0"/>
              <w:adjustRightInd/>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4</w:t>
            </w:r>
          </w:p>
        </w:tc>
        <w:tc>
          <w:tcPr>
            <w:tcW w:w="4421" w:type="dxa"/>
            <w:vAlign w:val="center"/>
          </w:tcPr>
          <w:p w14:paraId="41F784B4">
            <w:pPr>
              <w:keepNext w:val="0"/>
              <w:keepLines w:val="0"/>
              <w:pageBreakBefore w:val="0"/>
              <w:widowControl w:val="0"/>
              <w:kinsoku/>
              <w:wordWrap/>
              <w:overflowPunct/>
              <w:topLinePunct w:val="0"/>
              <w:bidi w:val="0"/>
              <w:adjustRightInd/>
              <w:snapToGrid w:val="0"/>
              <w:spacing w:line="600" w:lineRule="exact"/>
              <w:jc w:val="center"/>
              <w:textAlignment w:val="auto"/>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sz w:val="32"/>
                <w:szCs w:val="32"/>
                <w:lang w:val="en-US" w:bidi="ar-SA"/>
              </w:rPr>
              <w:t>电压波动</w:t>
            </w:r>
            <w:r>
              <w:rPr>
                <w:rFonts w:hint="eastAsia" w:ascii="方正仿宋_GBK" w:hAnsi="方正仿宋_GBK" w:eastAsia="方正仿宋_GBK" w:cs="方正仿宋_GBK"/>
                <w:color w:val="000000"/>
                <w:sz w:val="32"/>
                <w:szCs w:val="32"/>
                <w:lang w:val="en-US" w:bidi="ar-SA"/>
              </w:rPr>
              <w:t>试验</w:t>
            </w:r>
          </w:p>
        </w:tc>
        <w:tc>
          <w:tcPr>
            <w:tcW w:w="1930" w:type="dxa"/>
            <w:vMerge w:val="continue"/>
            <w:vAlign w:val="center"/>
          </w:tcPr>
          <w:p w14:paraId="791C6389">
            <w:pPr>
              <w:keepNext w:val="0"/>
              <w:keepLines w:val="0"/>
              <w:pageBreakBefore w:val="0"/>
              <w:widowControl w:val="0"/>
              <w:kinsoku/>
              <w:wordWrap/>
              <w:overflowPunct/>
              <w:topLinePunct w:val="0"/>
              <w:autoSpaceDE/>
              <w:autoSpaceDN/>
              <w:bidi w:val="0"/>
              <w:adjustRightInd/>
              <w:spacing w:line="600" w:lineRule="exact"/>
              <w:ind w:firstLine="640" w:firstLineChars="200"/>
              <w:jc w:val="center"/>
              <w:textAlignment w:val="auto"/>
              <w:rPr>
                <w:rFonts w:ascii="方正仿宋_GBK" w:hAnsi="方正仿宋_GBK" w:eastAsia="方正仿宋_GBK" w:cs="方正仿宋_GBK"/>
                <w:kern w:val="2"/>
                <w:sz w:val="32"/>
                <w:szCs w:val="32"/>
                <w:lang w:val="en-US" w:bidi="ar-SA"/>
              </w:rPr>
            </w:pPr>
          </w:p>
        </w:tc>
        <w:tc>
          <w:tcPr>
            <w:tcW w:w="1903" w:type="dxa"/>
            <w:vMerge w:val="continue"/>
            <w:vAlign w:val="center"/>
          </w:tcPr>
          <w:p w14:paraId="4531FFEC">
            <w:pPr>
              <w:keepNext w:val="0"/>
              <w:keepLines w:val="0"/>
              <w:pageBreakBefore w:val="0"/>
              <w:widowControl w:val="0"/>
              <w:kinsoku/>
              <w:wordWrap/>
              <w:overflowPunct/>
              <w:topLinePunct w:val="0"/>
              <w:autoSpaceDE/>
              <w:autoSpaceDN/>
              <w:bidi w:val="0"/>
              <w:adjustRightInd/>
              <w:spacing w:line="600" w:lineRule="exact"/>
              <w:ind w:firstLine="640" w:firstLineChars="200"/>
              <w:jc w:val="center"/>
              <w:textAlignment w:val="auto"/>
              <w:rPr>
                <w:rFonts w:ascii="方正仿宋_GBK" w:hAnsi="方正仿宋_GBK" w:eastAsia="方正仿宋_GBK" w:cs="方正仿宋_GBK"/>
                <w:kern w:val="2"/>
                <w:sz w:val="32"/>
                <w:szCs w:val="32"/>
                <w:lang w:val="en-US" w:bidi="ar-SA"/>
              </w:rPr>
            </w:pPr>
          </w:p>
        </w:tc>
      </w:tr>
      <w:tr w14:paraId="350853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3" w:hRule="atLeast"/>
          <w:jc w:val="center"/>
        </w:trPr>
        <w:tc>
          <w:tcPr>
            <w:tcW w:w="829" w:type="dxa"/>
            <w:vAlign w:val="center"/>
          </w:tcPr>
          <w:p w14:paraId="0514F6A3">
            <w:pPr>
              <w:keepNext w:val="0"/>
              <w:keepLines w:val="0"/>
              <w:pageBreakBefore w:val="0"/>
              <w:widowControl w:val="0"/>
              <w:kinsoku/>
              <w:wordWrap/>
              <w:overflowPunct/>
              <w:topLinePunct w:val="0"/>
              <w:autoSpaceDE/>
              <w:autoSpaceDN/>
              <w:bidi w:val="0"/>
              <w:adjustRightInd/>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w:t>
            </w:r>
          </w:p>
        </w:tc>
        <w:tc>
          <w:tcPr>
            <w:tcW w:w="4421" w:type="dxa"/>
            <w:vAlign w:val="center"/>
          </w:tcPr>
          <w:p w14:paraId="6C561775">
            <w:pPr>
              <w:keepNext w:val="0"/>
              <w:keepLines w:val="0"/>
              <w:pageBreakBefore w:val="0"/>
              <w:widowControl w:val="0"/>
              <w:kinsoku/>
              <w:wordWrap/>
              <w:overflowPunct/>
              <w:topLinePunct w:val="0"/>
              <w:bidi w:val="0"/>
              <w:adjustRightInd/>
              <w:snapToGrid w:val="0"/>
              <w:spacing w:line="600" w:lineRule="exact"/>
              <w:jc w:val="center"/>
              <w:textAlignment w:val="auto"/>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bidi="ar-SA"/>
              </w:rPr>
              <w:t>转换电压试验</w:t>
            </w:r>
          </w:p>
        </w:tc>
        <w:tc>
          <w:tcPr>
            <w:tcW w:w="1930" w:type="dxa"/>
            <w:vMerge w:val="continue"/>
            <w:vAlign w:val="center"/>
          </w:tcPr>
          <w:p w14:paraId="3264F3DE">
            <w:pPr>
              <w:keepNext w:val="0"/>
              <w:keepLines w:val="0"/>
              <w:pageBreakBefore w:val="0"/>
              <w:widowControl w:val="0"/>
              <w:kinsoku/>
              <w:wordWrap/>
              <w:overflowPunct/>
              <w:topLinePunct w:val="0"/>
              <w:autoSpaceDE/>
              <w:autoSpaceDN/>
              <w:bidi w:val="0"/>
              <w:adjustRightInd/>
              <w:spacing w:line="600" w:lineRule="exact"/>
              <w:ind w:firstLine="640" w:firstLineChars="200"/>
              <w:jc w:val="center"/>
              <w:textAlignment w:val="auto"/>
              <w:rPr>
                <w:rFonts w:ascii="方正仿宋_GBK" w:hAnsi="方正仿宋_GBK" w:eastAsia="方正仿宋_GBK" w:cs="方正仿宋_GBK"/>
                <w:kern w:val="2"/>
                <w:sz w:val="32"/>
                <w:szCs w:val="32"/>
                <w:lang w:val="en-US" w:bidi="ar-SA"/>
              </w:rPr>
            </w:pPr>
          </w:p>
        </w:tc>
        <w:tc>
          <w:tcPr>
            <w:tcW w:w="1903" w:type="dxa"/>
            <w:vMerge w:val="continue"/>
            <w:vAlign w:val="center"/>
          </w:tcPr>
          <w:p w14:paraId="2D4568BE">
            <w:pPr>
              <w:keepNext w:val="0"/>
              <w:keepLines w:val="0"/>
              <w:pageBreakBefore w:val="0"/>
              <w:widowControl w:val="0"/>
              <w:kinsoku/>
              <w:wordWrap/>
              <w:overflowPunct/>
              <w:topLinePunct w:val="0"/>
              <w:autoSpaceDE/>
              <w:autoSpaceDN/>
              <w:bidi w:val="0"/>
              <w:adjustRightInd/>
              <w:spacing w:line="600" w:lineRule="exact"/>
              <w:ind w:firstLine="640" w:firstLineChars="200"/>
              <w:jc w:val="center"/>
              <w:textAlignment w:val="auto"/>
              <w:rPr>
                <w:rFonts w:ascii="方正仿宋_GBK" w:hAnsi="方正仿宋_GBK" w:eastAsia="方正仿宋_GBK" w:cs="方正仿宋_GBK"/>
                <w:kern w:val="2"/>
                <w:sz w:val="32"/>
                <w:szCs w:val="32"/>
                <w:lang w:val="en-US" w:bidi="ar-SA"/>
              </w:rPr>
            </w:pPr>
          </w:p>
        </w:tc>
      </w:tr>
      <w:tr w14:paraId="50FFFB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3" w:hRule="atLeast"/>
          <w:jc w:val="center"/>
        </w:trPr>
        <w:tc>
          <w:tcPr>
            <w:tcW w:w="829" w:type="dxa"/>
            <w:vAlign w:val="center"/>
          </w:tcPr>
          <w:p w14:paraId="393EE526">
            <w:pPr>
              <w:keepNext w:val="0"/>
              <w:keepLines w:val="0"/>
              <w:pageBreakBefore w:val="0"/>
              <w:widowControl w:val="0"/>
              <w:kinsoku/>
              <w:wordWrap/>
              <w:overflowPunct/>
              <w:topLinePunct w:val="0"/>
              <w:autoSpaceDE/>
              <w:autoSpaceDN/>
              <w:bidi w:val="0"/>
              <w:adjustRightInd/>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6</w:t>
            </w:r>
          </w:p>
        </w:tc>
        <w:tc>
          <w:tcPr>
            <w:tcW w:w="4421" w:type="dxa"/>
            <w:vAlign w:val="center"/>
          </w:tcPr>
          <w:p w14:paraId="4B746801">
            <w:pPr>
              <w:keepNext w:val="0"/>
              <w:keepLines w:val="0"/>
              <w:pageBreakBefore w:val="0"/>
              <w:widowControl w:val="0"/>
              <w:kinsoku/>
              <w:wordWrap/>
              <w:overflowPunct/>
              <w:topLinePunct w:val="0"/>
              <w:bidi w:val="0"/>
              <w:adjustRightInd/>
              <w:snapToGrid w:val="0"/>
              <w:spacing w:line="600" w:lineRule="exact"/>
              <w:jc w:val="center"/>
              <w:textAlignment w:val="auto"/>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bidi="ar-SA"/>
              </w:rPr>
              <w:t>绝缘电阻试验</w:t>
            </w:r>
          </w:p>
        </w:tc>
        <w:tc>
          <w:tcPr>
            <w:tcW w:w="1930" w:type="dxa"/>
            <w:vMerge w:val="continue"/>
            <w:vAlign w:val="center"/>
          </w:tcPr>
          <w:p w14:paraId="5E6BB7AA">
            <w:pPr>
              <w:keepNext w:val="0"/>
              <w:keepLines w:val="0"/>
              <w:pageBreakBefore w:val="0"/>
              <w:widowControl w:val="0"/>
              <w:kinsoku/>
              <w:wordWrap/>
              <w:overflowPunct/>
              <w:topLinePunct w:val="0"/>
              <w:autoSpaceDE/>
              <w:autoSpaceDN/>
              <w:bidi w:val="0"/>
              <w:adjustRightInd/>
              <w:spacing w:line="600" w:lineRule="exact"/>
              <w:ind w:firstLine="640" w:firstLineChars="200"/>
              <w:jc w:val="center"/>
              <w:textAlignment w:val="auto"/>
              <w:rPr>
                <w:rFonts w:ascii="方正仿宋_GBK" w:hAnsi="方正仿宋_GBK" w:eastAsia="方正仿宋_GBK" w:cs="方正仿宋_GBK"/>
                <w:kern w:val="2"/>
                <w:sz w:val="32"/>
                <w:szCs w:val="32"/>
                <w:lang w:val="en-US" w:bidi="ar-SA"/>
              </w:rPr>
            </w:pPr>
          </w:p>
        </w:tc>
        <w:tc>
          <w:tcPr>
            <w:tcW w:w="1903" w:type="dxa"/>
            <w:vMerge w:val="continue"/>
            <w:vAlign w:val="center"/>
          </w:tcPr>
          <w:p w14:paraId="7EA8AE5F">
            <w:pPr>
              <w:keepNext w:val="0"/>
              <w:keepLines w:val="0"/>
              <w:pageBreakBefore w:val="0"/>
              <w:widowControl w:val="0"/>
              <w:kinsoku/>
              <w:wordWrap/>
              <w:overflowPunct/>
              <w:topLinePunct w:val="0"/>
              <w:autoSpaceDE/>
              <w:autoSpaceDN/>
              <w:bidi w:val="0"/>
              <w:adjustRightInd/>
              <w:spacing w:line="600" w:lineRule="exact"/>
              <w:ind w:firstLine="640" w:firstLineChars="200"/>
              <w:jc w:val="center"/>
              <w:textAlignment w:val="auto"/>
              <w:rPr>
                <w:rFonts w:ascii="方正仿宋_GBK" w:hAnsi="方正仿宋_GBK" w:eastAsia="方正仿宋_GBK" w:cs="方正仿宋_GBK"/>
                <w:kern w:val="2"/>
                <w:sz w:val="32"/>
                <w:szCs w:val="32"/>
                <w:lang w:val="en-US" w:bidi="ar-SA"/>
              </w:rPr>
            </w:pPr>
          </w:p>
        </w:tc>
      </w:tr>
      <w:tr w14:paraId="681243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3" w:hRule="atLeast"/>
          <w:jc w:val="center"/>
        </w:trPr>
        <w:tc>
          <w:tcPr>
            <w:tcW w:w="829" w:type="dxa"/>
            <w:vAlign w:val="center"/>
          </w:tcPr>
          <w:p w14:paraId="195D3B8C">
            <w:pPr>
              <w:keepNext w:val="0"/>
              <w:keepLines w:val="0"/>
              <w:pageBreakBefore w:val="0"/>
              <w:widowControl w:val="0"/>
              <w:kinsoku/>
              <w:wordWrap/>
              <w:overflowPunct/>
              <w:topLinePunct w:val="0"/>
              <w:autoSpaceDE/>
              <w:autoSpaceDN/>
              <w:bidi w:val="0"/>
              <w:adjustRightInd/>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7</w:t>
            </w:r>
          </w:p>
        </w:tc>
        <w:tc>
          <w:tcPr>
            <w:tcW w:w="4421" w:type="dxa"/>
            <w:vAlign w:val="center"/>
          </w:tcPr>
          <w:p w14:paraId="3EAE76C6">
            <w:pPr>
              <w:keepNext w:val="0"/>
              <w:keepLines w:val="0"/>
              <w:pageBreakBefore w:val="0"/>
              <w:widowControl w:val="0"/>
              <w:kinsoku/>
              <w:wordWrap/>
              <w:overflowPunct/>
              <w:topLinePunct w:val="0"/>
              <w:bidi w:val="0"/>
              <w:adjustRightInd/>
              <w:snapToGrid w:val="0"/>
              <w:spacing w:line="600" w:lineRule="exact"/>
              <w:jc w:val="center"/>
              <w:textAlignment w:val="auto"/>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bidi="ar-SA"/>
              </w:rPr>
              <w:t>接地电阻试验</w:t>
            </w:r>
          </w:p>
        </w:tc>
        <w:tc>
          <w:tcPr>
            <w:tcW w:w="1930" w:type="dxa"/>
            <w:vMerge w:val="continue"/>
            <w:vAlign w:val="center"/>
          </w:tcPr>
          <w:p w14:paraId="7FB08846">
            <w:pPr>
              <w:keepNext w:val="0"/>
              <w:keepLines w:val="0"/>
              <w:pageBreakBefore w:val="0"/>
              <w:widowControl w:val="0"/>
              <w:kinsoku/>
              <w:wordWrap/>
              <w:overflowPunct/>
              <w:topLinePunct w:val="0"/>
              <w:autoSpaceDE/>
              <w:autoSpaceDN/>
              <w:bidi w:val="0"/>
              <w:adjustRightInd/>
              <w:spacing w:line="600" w:lineRule="exact"/>
              <w:ind w:firstLine="640" w:firstLineChars="200"/>
              <w:jc w:val="center"/>
              <w:textAlignment w:val="auto"/>
              <w:rPr>
                <w:rFonts w:ascii="方正仿宋_GBK" w:hAnsi="方正仿宋_GBK" w:eastAsia="方正仿宋_GBK" w:cs="方正仿宋_GBK"/>
                <w:kern w:val="2"/>
                <w:sz w:val="32"/>
                <w:szCs w:val="32"/>
                <w:lang w:val="en-US" w:bidi="ar-SA"/>
              </w:rPr>
            </w:pPr>
          </w:p>
        </w:tc>
        <w:tc>
          <w:tcPr>
            <w:tcW w:w="1903" w:type="dxa"/>
            <w:vMerge w:val="continue"/>
            <w:vAlign w:val="center"/>
          </w:tcPr>
          <w:p w14:paraId="6D574916">
            <w:pPr>
              <w:keepNext w:val="0"/>
              <w:keepLines w:val="0"/>
              <w:pageBreakBefore w:val="0"/>
              <w:widowControl w:val="0"/>
              <w:kinsoku/>
              <w:wordWrap/>
              <w:overflowPunct/>
              <w:topLinePunct w:val="0"/>
              <w:autoSpaceDE/>
              <w:autoSpaceDN/>
              <w:bidi w:val="0"/>
              <w:adjustRightInd/>
              <w:spacing w:line="600" w:lineRule="exact"/>
              <w:ind w:firstLine="640" w:firstLineChars="200"/>
              <w:jc w:val="center"/>
              <w:textAlignment w:val="auto"/>
              <w:rPr>
                <w:rFonts w:ascii="方正仿宋_GBK" w:hAnsi="方正仿宋_GBK" w:eastAsia="方正仿宋_GBK" w:cs="方正仿宋_GBK"/>
                <w:kern w:val="2"/>
                <w:sz w:val="32"/>
                <w:szCs w:val="32"/>
                <w:lang w:val="en-US" w:bidi="ar-SA"/>
              </w:rPr>
            </w:pPr>
          </w:p>
        </w:tc>
      </w:tr>
      <w:tr w14:paraId="42E09B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83" w:hRule="atLeast"/>
          <w:jc w:val="center"/>
        </w:trPr>
        <w:tc>
          <w:tcPr>
            <w:tcW w:w="829" w:type="dxa"/>
            <w:vAlign w:val="center"/>
          </w:tcPr>
          <w:p w14:paraId="0A036D0A">
            <w:pPr>
              <w:keepNext w:val="0"/>
              <w:keepLines w:val="0"/>
              <w:pageBreakBefore w:val="0"/>
              <w:widowControl w:val="0"/>
              <w:kinsoku/>
              <w:wordWrap/>
              <w:overflowPunct/>
              <w:topLinePunct w:val="0"/>
              <w:autoSpaceDE/>
              <w:autoSpaceDN/>
              <w:bidi w:val="0"/>
              <w:adjustRightInd/>
              <w:spacing w:line="600" w:lineRule="exact"/>
              <w:jc w:val="center"/>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8</w:t>
            </w:r>
          </w:p>
        </w:tc>
        <w:tc>
          <w:tcPr>
            <w:tcW w:w="4421" w:type="dxa"/>
            <w:vAlign w:val="center"/>
          </w:tcPr>
          <w:p w14:paraId="6212F93E">
            <w:pPr>
              <w:keepNext w:val="0"/>
              <w:keepLines w:val="0"/>
              <w:pageBreakBefore w:val="0"/>
              <w:widowControl w:val="0"/>
              <w:kinsoku/>
              <w:wordWrap/>
              <w:overflowPunct/>
              <w:topLinePunct w:val="0"/>
              <w:bidi w:val="0"/>
              <w:adjustRightInd/>
              <w:snapToGrid w:val="0"/>
              <w:spacing w:line="600" w:lineRule="exact"/>
              <w:jc w:val="center"/>
              <w:textAlignment w:val="auto"/>
              <w:rPr>
                <w:rFonts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lang w:val="en-US" w:bidi="ar-SA"/>
              </w:rPr>
              <w:t>耐压试验</w:t>
            </w:r>
          </w:p>
        </w:tc>
        <w:tc>
          <w:tcPr>
            <w:tcW w:w="1930" w:type="dxa"/>
            <w:vMerge w:val="continue"/>
            <w:vAlign w:val="center"/>
          </w:tcPr>
          <w:p w14:paraId="41EB7C6C">
            <w:pPr>
              <w:keepNext w:val="0"/>
              <w:keepLines w:val="0"/>
              <w:pageBreakBefore w:val="0"/>
              <w:widowControl w:val="0"/>
              <w:kinsoku/>
              <w:wordWrap/>
              <w:overflowPunct/>
              <w:topLinePunct w:val="0"/>
              <w:autoSpaceDE/>
              <w:autoSpaceDN/>
              <w:bidi w:val="0"/>
              <w:adjustRightInd/>
              <w:spacing w:line="600" w:lineRule="exact"/>
              <w:ind w:firstLine="640" w:firstLineChars="200"/>
              <w:jc w:val="center"/>
              <w:textAlignment w:val="auto"/>
              <w:rPr>
                <w:rFonts w:ascii="方正仿宋_GBK" w:hAnsi="方正仿宋_GBK" w:eastAsia="方正仿宋_GBK" w:cs="方正仿宋_GBK"/>
                <w:kern w:val="2"/>
                <w:sz w:val="32"/>
                <w:szCs w:val="32"/>
                <w:lang w:val="en-US" w:bidi="ar-SA"/>
              </w:rPr>
            </w:pPr>
          </w:p>
        </w:tc>
        <w:tc>
          <w:tcPr>
            <w:tcW w:w="1903" w:type="dxa"/>
            <w:vMerge w:val="continue"/>
            <w:vAlign w:val="center"/>
          </w:tcPr>
          <w:p w14:paraId="7A3A00F9">
            <w:pPr>
              <w:keepNext w:val="0"/>
              <w:keepLines w:val="0"/>
              <w:pageBreakBefore w:val="0"/>
              <w:widowControl w:val="0"/>
              <w:kinsoku/>
              <w:wordWrap/>
              <w:overflowPunct/>
              <w:topLinePunct w:val="0"/>
              <w:autoSpaceDE/>
              <w:autoSpaceDN/>
              <w:bidi w:val="0"/>
              <w:adjustRightInd/>
              <w:spacing w:line="600" w:lineRule="exact"/>
              <w:ind w:firstLine="640" w:firstLineChars="200"/>
              <w:jc w:val="center"/>
              <w:textAlignment w:val="auto"/>
              <w:rPr>
                <w:rFonts w:ascii="方正仿宋_GBK" w:hAnsi="方正仿宋_GBK" w:eastAsia="方正仿宋_GBK" w:cs="方正仿宋_GBK"/>
                <w:kern w:val="2"/>
                <w:sz w:val="32"/>
                <w:szCs w:val="32"/>
                <w:lang w:val="en-US" w:bidi="ar-SA"/>
              </w:rPr>
            </w:pPr>
          </w:p>
        </w:tc>
      </w:tr>
    </w:tbl>
    <w:p w14:paraId="63B08001">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检验方法包括相关产品标准及试验方法标准。</w:t>
      </w:r>
    </w:p>
    <w:p w14:paraId="54CB3130">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凡是注日期的文件，其随后所有的修改单（不包括勘误的内容）或修订版不适用于本细则。凡是不注日期的文件，其最新版本适用于本细则。</w:t>
      </w:r>
    </w:p>
    <w:p w14:paraId="551BC3D9">
      <w:pPr>
        <w:keepNext w:val="0"/>
        <w:keepLines w:val="0"/>
        <w:pageBreakBefore w:val="0"/>
        <w:widowControl w:val="0"/>
        <w:kinsoku/>
        <w:wordWrap/>
        <w:overflowPunct/>
        <w:topLinePunct w:val="0"/>
        <w:bidi w:val="0"/>
        <w:adjustRightInd/>
        <w:spacing w:line="600" w:lineRule="exact"/>
        <w:ind w:firstLine="640" w:firstLineChars="200"/>
        <w:textAlignment w:val="auto"/>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4.判定规则</w:t>
      </w:r>
    </w:p>
    <w:p w14:paraId="0AEE4E85">
      <w:pPr>
        <w:keepNext w:val="0"/>
        <w:keepLines w:val="0"/>
        <w:pageBreakBefore w:val="0"/>
        <w:widowControl w:val="0"/>
        <w:kinsoku/>
        <w:wordWrap/>
        <w:overflowPunct/>
        <w:topLinePunct w:val="0"/>
        <w:bidi w:val="0"/>
        <w:adjustRightInd/>
        <w:spacing w:line="600" w:lineRule="exact"/>
        <w:ind w:firstLine="640" w:firstLineChars="200"/>
        <w:textAlignment w:val="auto"/>
        <w:rPr>
          <w:rFonts w:ascii="方正仿宋_GBK" w:hAnsi="方正仿宋_GBK" w:eastAsia="方正仿宋_GBK" w:cs="方正仿宋_GBK"/>
          <w:sz w:val="32"/>
          <w:szCs w:val="32"/>
        </w:rPr>
      </w:pPr>
      <w:r>
        <w:rPr>
          <w:rFonts w:hint="eastAsia" w:ascii="Times New Roman" w:hAnsi="Times New Roman" w:eastAsia="方正仿宋_GBK"/>
          <w:sz w:val="32"/>
          <w:szCs w:val="32"/>
          <w:shd w:val="clear" w:color="auto" w:fill="FFFFFF"/>
        </w:rPr>
        <w:t>4.1</w:t>
      </w:r>
      <w:r>
        <w:rPr>
          <w:rFonts w:hint="eastAsia" w:ascii="方正仿宋_GBK" w:hAnsi="方正仿宋_GBK" w:eastAsia="方正仿宋_GBK" w:cs="方正仿宋_GBK"/>
          <w:sz w:val="32"/>
          <w:szCs w:val="32"/>
        </w:rPr>
        <w:t>依据标准</w:t>
      </w:r>
    </w:p>
    <w:p w14:paraId="68630C2F">
      <w:pPr>
        <w:pStyle w:val="4"/>
        <w:keepNext w:val="0"/>
        <w:keepLines w:val="0"/>
        <w:pageBreakBefore w:val="0"/>
        <w:widowControl w:val="0"/>
        <w:shd w:val="clear" w:color="auto" w:fill="FFFFFF"/>
        <w:kinsoku/>
        <w:wordWrap/>
        <w:overflowPunct/>
        <w:topLinePunct w:val="0"/>
        <w:bidi w:val="0"/>
        <w:adjustRightInd/>
        <w:spacing w:before="0" w:line="600" w:lineRule="exact"/>
        <w:ind w:firstLine="480" w:firstLineChars="150"/>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GB 17945-2010《消防应急照明和疏散指示系统》</w:t>
      </w:r>
    </w:p>
    <w:p w14:paraId="4EE38214">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现行有效的企业标准、团体标准、地方标准及产品明示质量要求</w:t>
      </w:r>
    </w:p>
    <w:p w14:paraId="63396F95">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ascii="方正仿宋_GBK" w:hAnsi="方正仿宋_GBK" w:eastAsia="方正仿宋_GBK" w:cs="方正仿宋_GBK"/>
          <w:sz w:val="32"/>
          <w:szCs w:val="32"/>
        </w:rPr>
      </w:pPr>
      <w:r>
        <w:rPr>
          <w:rFonts w:hint="eastAsia" w:ascii="Times New Roman" w:hAnsi="Times New Roman" w:eastAsia="方正仿宋_GBK"/>
          <w:sz w:val="32"/>
          <w:szCs w:val="32"/>
          <w:shd w:val="clear" w:color="auto" w:fill="FFFFFF"/>
        </w:rPr>
        <w:t>4.2</w:t>
      </w:r>
      <w:r>
        <w:rPr>
          <w:rFonts w:hint="eastAsia" w:ascii="方正仿宋_GBK" w:hAnsi="方正仿宋_GBK" w:eastAsia="方正仿宋_GBK" w:cs="方正仿宋_GBK"/>
          <w:sz w:val="32"/>
          <w:szCs w:val="32"/>
        </w:rPr>
        <w:t>判定原则</w:t>
      </w:r>
    </w:p>
    <w:p w14:paraId="0CEDA968">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sz w:val="32"/>
          <w:szCs w:val="32"/>
        </w:rPr>
        <w:t>经</w:t>
      </w:r>
      <w:r>
        <w:rPr>
          <w:rFonts w:hint="eastAsia" w:ascii="方正仿宋_GBK" w:hAnsi="方正仿宋_GBK" w:eastAsia="方正仿宋_GBK" w:cs="方正仿宋_GBK"/>
          <w:sz w:val="32"/>
          <w:szCs w:val="32"/>
          <w:lang w:val="en-US" w:eastAsia="zh-CN"/>
        </w:rPr>
        <w:t>抽样</w:t>
      </w:r>
      <w:r>
        <w:rPr>
          <w:rFonts w:hint="eastAsia" w:ascii="方正仿宋_GBK" w:hAnsi="方正仿宋_GBK" w:eastAsia="方正仿宋_GBK" w:cs="方正仿宋_GBK"/>
          <w:sz w:val="32"/>
          <w:szCs w:val="32"/>
        </w:rPr>
        <w:t>检验，检验项目全部合格，判定为</w:t>
      </w:r>
      <w:r>
        <w:rPr>
          <w:rFonts w:hint="eastAsia" w:ascii="方正仿宋_GBK" w:hAnsi="方正仿宋_GBK" w:eastAsia="方正仿宋_GBK" w:cs="方正仿宋_GBK"/>
          <w:sz w:val="32"/>
          <w:szCs w:val="32"/>
          <w:lang w:val="en-US" w:eastAsia="zh-CN"/>
        </w:rPr>
        <w:t>未发现不合格</w:t>
      </w:r>
      <w:r>
        <w:rPr>
          <w:rFonts w:hint="eastAsia" w:ascii="方正仿宋_GBK" w:hAnsi="方正仿宋_GBK" w:eastAsia="方正仿宋_GBK" w:cs="方正仿宋_GBK"/>
          <w:sz w:val="32"/>
          <w:szCs w:val="32"/>
        </w:rPr>
        <w:t>；检验项目中任一项或一项以上不合格，判定为不合格。</w:t>
      </w:r>
    </w:p>
    <w:p w14:paraId="798AA794">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若被检产品明示的质量要求高于本细则中检验项目依据的标准要求时，应按被检产品明示的质量要求判定。</w:t>
      </w:r>
    </w:p>
    <w:p w14:paraId="3BD663F5">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若被检产品明示的质量要求低于本细则中检验项目依据的强制性标准要求时，应按照强制性标准要求判定。</w:t>
      </w:r>
    </w:p>
    <w:p w14:paraId="362C05C6">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若被检产品明示的质量要求低于或包含细则中检验项目依据的推荐性标准要求时，应以被检产品明示的质量要求判定，但应在检验报告备注中进行说明。</w:t>
      </w:r>
    </w:p>
    <w:p w14:paraId="3AF4BEFC">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若被检产品明示的质量要求缺少本细则中检验项目依据的强制性标准要求时，应按照强制性标准要求判定。</w:t>
      </w:r>
    </w:p>
    <w:p w14:paraId="7E977B7D">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若被检产品明示的质量要求缺少本细则中检验项目依据的推荐性标准要求时，该项目不参与判定，但应在检验报告备注中进行说明。</w:t>
      </w:r>
    </w:p>
    <w:p w14:paraId="522532FF">
      <w:pPr>
        <w:keepNext w:val="0"/>
        <w:keepLines w:val="0"/>
        <w:pageBreakBefore w:val="0"/>
        <w:widowControl w:val="0"/>
        <w:kinsoku/>
        <w:wordWrap/>
        <w:overflowPunct/>
        <w:topLinePunct w:val="0"/>
        <w:bidi w:val="0"/>
        <w:adjustRightInd/>
        <w:spacing w:line="600" w:lineRule="exact"/>
        <w:ind w:firstLine="640" w:firstLineChars="200"/>
        <w:textAlignment w:val="auto"/>
        <w:rPr>
          <w:rFonts w:ascii="方正黑体_GBK" w:hAnsi="方正仿宋_GBK" w:eastAsia="方正黑体_GBK" w:cs="方正仿宋_GBK"/>
          <w:sz w:val="32"/>
          <w:szCs w:val="32"/>
          <w:shd w:val="clear" w:color="auto" w:fill="FFFFFF"/>
        </w:rPr>
      </w:pPr>
      <w:r>
        <w:rPr>
          <w:rFonts w:hint="eastAsia" w:ascii="方正黑体_GBK" w:hAnsi="方正仿宋_GBK" w:eastAsia="方正黑体_GBK" w:cs="方正仿宋_GBK"/>
          <w:sz w:val="32"/>
          <w:szCs w:val="32"/>
          <w:shd w:val="clear" w:color="auto" w:fill="FFFFFF"/>
        </w:rPr>
        <w:t>5.异议处理</w:t>
      </w:r>
    </w:p>
    <w:p w14:paraId="58E49A74">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5.1对监督抽查程序有异议的，由任务下达部门核查相关证据后维持或者撤销原检验结果。</w:t>
      </w:r>
    </w:p>
    <w:p w14:paraId="18EE152F">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51786851">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ascii="方正仿宋_GBK" w:hAnsi="方正仿宋_GBK" w:eastAsia="方正仿宋_GBK" w:cs="方正仿宋_GBK"/>
          <w:kern w:val="2"/>
          <w:sz w:val="32"/>
          <w:szCs w:val="32"/>
          <w:lang w:val="en-US" w:bidi="ar-SA"/>
        </w:rPr>
      </w:pPr>
      <w:r>
        <w:rPr>
          <w:rFonts w:hint="eastAsia" w:ascii="方正仿宋_GBK" w:hAnsi="方正仿宋_GBK" w:eastAsia="方正仿宋_GBK" w:cs="方正仿宋_GBK"/>
          <w:kern w:val="2"/>
          <w:sz w:val="32"/>
          <w:szCs w:val="32"/>
          <w:lang w:val="en-US" w:bidi="ar-SA"/>
        </w:rPr>
        <w:t>5.3对样品信息有异议的，任务下达部门核查样品确认情况和生产企业提交证明材料后，维持或者撤销原检验结果。</w:t>
      </w:r>
    </w:p>
    <w:p w14:paraId="1EDE42EC">
      <w:pPr>
        <w:pStyle w:val="5"/>
        <w:keepNext w:val="0"/>
        <w:keepLines w:val="0"/>
        <w:pageBreakBefore w:val="0"/>
        <w:widowControl w:val="0"/>
        <w:tabs>
          <w:tab w:val="left" w:pos="967"/>
          <w:tab w:val="left" w:pos="969"/>
        </w:tabs>
        <w:kinsoku/>
        <w:wordWrap/>
        <w:overflowPunct/>
        <w:topLinePunct w:val="0"/>
        <w:bidi w:val="0"/>
        <w:adjustRightInd/>
        <w:spacing w:line="600" w:lineRule="exact"/>
        <w:ind w:left="0" w:firstLine="640" w:firstLineChars="200"/>
        <w:textAlignment w:val="auto"/>
        <w:rPr>
          <w:rFonts w:ascii="方正仿宋_GBK" w:hAnsi="方正仿宋_GBK" w:eastAsia="方正仿宋_GBK" w:cs="方正仿宋_GBK"/>
          <w:b w:val="0"/>
          <w:bCs w:val="0"/>
          <w:kern w:val="2"/>
          <w:sz w:val="32"/>
          <w:szCs w:val="32"/>
        </w:rPr>
      </w:pPr>
    </w:p>
    <w:sectPr>
      <w:footerReference r:id="rId3" w:type="default"/>
      <w:pgSz w:w="11910" w:h="16840"/>
      <w:pgMar w:top="1440" w:right="1080" w:bottom="1440" w:left="1080" w:header="0" w:footer="970"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仿宋_GBK">
    <w:panose1 w:val="02000000000000000000"/>
    <w:charset w:val="86"/>
    <w:family w:val="script"/>
    <w:pitch w:val="default"/>
    <w:sig w:usb0="A00002BF" w:usb1="38CF7CFA" w:usb2="00082016" w:usb3="00000000" w:csb0="00040001" w:csb1="00000000"/>
  </w:font>
  <w:font w:name="方正小标宋_GBK">
    <w:panose1 w:val="02000000000000000000"/>
    <w:charset w:val="86"/>
    <w:family w:val="script"/>
    <w:pitch w:val="default"/>
    <w:sig w:usb0="A00002BF" w:usb1="38CF7CFA" w:usb2="00082016" w:usb3="00000000" w:csb0="00040001" w:csb1="00000000"/>
  </w:font>
  <w:font w:name="方正黑体_GBK">
    <w:altName w:val="汉仪中黑KW"/>
    <w:panose1 w:val="00000000000000000000"/>
    <w:charset w:val="00"/>
    <w:family w:val="auto"/>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7FBAC">
    <w:pPr>
      <w:pStyle w:val="6"/>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538D3A8">
                          <w:pPr>
                            <w:pStyle w:val="8"/>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zql5uc8AAAAFAQAADwAA&#10;AAAAAAABACAAAAAiAAAAZHJzL2Rvd25yZXYueG1sUEsBAhQAFAAAAAgAh07iQAzqkHTmAQAAxwMA&#10;AA4AAAAAAAAAAQAgAAAAHgEAAGRycy9lMm9Eb2MueG1sUEsFBgAAAAAGAAYAWQEAAHYFAAAAAA==&#10;">
              <v:fill on="f" focussize="0,0"/>
              <v:stroke on="f"/>
              <v:imagedata o:title=""/>
              <o:lock v:ext="edit" aspectratio="f"/>
              <v:textbox inset="0mm,0mm,0mm,0mm" style="mso-fit-shape-to-text:t;">
                <w:txbxContent>
                  <w:p w14:paraId="0538D3A8">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1"/>
  <w:bordersDoNotSurroundFooter w:val="1"/>
  <w:documentProtection w:enforcement="0"/>
  <w:defaultTabStop w:val="720"/>
  <w:drawingGridHorizontalSpacing w:val="110"/>
  <w:displayHorizontalDrawingGridEvery w:val="2"/>
  <w:characterSpacingControl w:val="doNotCompress"/>
  <w:hdrShapeDefaults>
    <o:shapelayout v:ext="edit">
      <o:idmap v:ext="edit" data="1"/>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Q1NWMxYTJiMzI0OWI1NWU0OTU1MzFhNTMyZGU1NWIifQ=="/>
  </w:docVars>
  <w:rsids>
    <w:rsidRoot w:val="00D74BB0"/>
    <w:rsid w:val="0000650C"/>
    <w:rsid w:val="0003266E"/>
    <w:rsid w:val="00042E52"/>
    <w:rsid w:val="00075D2C"/>
    <w:rsid w:val="00076EDD"/>
    <w:rsid w:val="000831B2"/>
    <w:rsid w:val="000E438C"/>
    <w:rsid w:val="000F1035"/>
    <w:rsid w:val="00114B79"/>
    <w:rsid w:val="00122CB6"/>
    <w:rsid w:val="00164799"/>
    <w:rsid w:val="00164C00"/>
    <w:rsid w:val="001656B3"/>
    <w:rsid w:val="00166C5B"/>
    <w:rsid w:val="001760BA"/>
    <w:rsid w:val="001760E6"/>
    <w:rsid w:val="001C333A"/>
    <w:rsid w:val="001C67A8"/>
    <w:rsid w:val="00257739"/>
    <w:rsid w:val="0027280A"/>
    <w:rsid w:val="002743CE"/>
    <w:rsid w:val="002851E4"/>
    <w:rsid w:val="002B6731"/>
    <w:rsid w:val="002D7400"/>
    <w:rsid w:val="003031BA"/>
    <w:rsid w:val="003175BB"/>
    <w:rsid w:val="0036591F"/>
    <w:rsid w:val="00390722"/>
    <w:rsid w:val="00395BCD"/>
    <w:rsid w:val="003A3D49"/>
    <w:rsid w:val="003D4C42"/>
    <w:rsid w:val="004058B1"/>
    <w:rsid w:val="0040651B"/>
    <w:rsid w:val="00432A23"/>
    <w:rsid w:val="00435ACF"/>
    <w:rsid w:val="004626D2"/>
    <w:rsid w:val="00477D1A"/>
    <w:rsid w:val="00491441"/>
    <w:rsid w:val="00493196"/>
    <w:rsid w:val="004A29D9"/>
    <w:rsid w:val="004B1147"/>
    <w:rsid w:val="004B1CE9"/>
    <w:rsid w:val="00506A7E"/>
    <w:rsid w:val="00531560"/>
    <w:rsid w:val="00533F57"/>
    <w:rsid w:val="00537E82"/>
    <w:rsid w:val="00557205"/>
    <w:rsid w:val="00570CED"/>
    <w:rsid w:val="005833D3"/>
    <w:rsid w:val="005905AF"/>
    <w:rsid w:val="005909AC"/>
    <w:rsid w:val="00611AA6"/>
    <w:rsid w:val="00611E80"/>
    <w:rsid w:val="00614648"/>
    <w:rsid w:val="00621C5C"/>
    <w:rsid w:val="00677155"/>
    <w:rsid w:val="00684D22"/>
    <w:rsid w:val="006B2B20"/>
    <w:rsid w:val="006B3A82"/>
    <w:rsid w:val="007312EA"/>
    <w:rsid w:val="00741CC8"/>
    <w:rsid w:val="0074736E"/>
    <w:rsid w:val="00775579"/>
    <w:rsid w:val="007D6698"/>
    <w:rsid w:val="007F35EE"/>
    <w:rsid w:val="008140ED"/>
    <w:rsid w:val="008225CF"/>
    <w:rsid w:val="008911D7"/>
    <w:rsid w:val="008A359A"/>
    <w:rsid w:val="008F390B"/>
    <w:rsid w:val="008F7C56"/>
    <w:rsid w:val="009034C0"/>
    <w:rsid w:val="00903E92"/>
    <w:rsid w:val="00923C62"/>
    <w:rsid w:val="009249DD"/>
    <w:rsid w:val="00945576"/>
    <w:rsid w:val="009555B3"/>
    <w:rsid w:val="0098052D"/>
    <w:rsid w:val="00A0393C"/>
    <w:rsid w:val="00A13749"/>
    <w:rsid w:val="00A30987"/>
    <w:rsid w:val="00A60356"/>
    <w:rsid w:val="00A61ABB"/>
    <w:rsid w:val="00AA3B6D"/>
    <w:rsid w:val="00AC0C0B"/>
    <w:rsid w:val="00AC3FED"/>
    <w:rsid w:val="00AC5E2F"/>
    <w:rsid w:val="00AE2A65"/>
    <w:rsid w:val="00AF6DC8"/>
    <w:rsid w:val="00B03DD6"/>
    <w:rsid w:val="00B52AAF"/>
    <w:rsid w:val="00B913AD"/>
    <w:rsid w:val="00B95581"/>
    <w:rsid w:val="00BC446E"/>
    <w:rsid w:val="00BD18CC"/>
    <w:rsid w:val="00C001C7"/>
    <w:rsid w:val="00C16AD7"/>
    <w:rsid w:val="00C201F5"/>
    <w:rsid w:val="00C53ED0"/>
    <w:rsid w:val="00C9766F"/>
    <w:rsid w:val="00CC1D12"/>
    <w:rsid w:val="00CC74DD"/>
    <w:rsid w:val="00CE1A1F"/>
    <w:rsid w:val="00CF7936"/>
    <w:rsid w:val="00D74BB0"/>
    <w:rsid w:val="00DD4AF9"/>
    <w:rsid w:val="00DE70E1"/>
    <w:rsid w:val="00E02AF4"/>
    <w:rsid w:val="00E17597"/>
    <w:rsid w:val="00E56F8D"/>
    <w:rsid w:val="00EC2A2A"/>
    <w:rsid w:val="00ED4951"/>
    <w:rsid w:val="00EE1BE5"/>
    <w:rsid w:val="00EE7908"/>
    <w:rsid w:val="00EF3839"/>
    <w:rsid w:val="00F10AF4"/>
    <w:rsid w:val="00F40913"/>
    <w:rsid w:val="00FB0EB0"/>
    <w:rsid w:val="00FC734D"/>
    <w:rsid w:val="00FD0552"/>
    <w:rsid w:val="0B007BD2"/>
    <w:rsid w:val="117D5540"/>
    <w:rsid w:val="14BD0584"/>
    <w:rsid w:val="1A056726"/>
    <w:rsid w:val="1AD867BE"/>
    <w:rsid w:val="37F95C4C"/>
    <w:rsid w:val="3DD7B973"/>
    <w:rsid w:val="3DDA1B2D"/>
    <w:rsid w:val="3F5D4F58"/>
    <w:rsid w:val="4C753AE6"/>
    <w:rsid w:val="4F174970"/>
    <w:rsid w:val="5E631DAD"/>
    <w:rsid w:val="68EE2392"/>
    <w:rsid w:val="72B066BF"/>
    <w:rsid w:val="77CFA332"/>
    <w:rsid w:val="DFF6D99D"/>
    <w:rsid w:val="EF17C4D9"/>
    <w:rsid w:val="FFFF15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ind w:left="2121" w:right="2138"/>
      <w:jc w:val="center"/>
      <w:outlineLvl w:val="0"/>
    </w:pPr>
    <w:rPr>
      <w:b/>
      <w:bCs/>
      <w:sz w:val="32"/>
      <w:szCs w:val="32"/>
    </w:rPr>
  </w:style>
  <w:style w:type="paragraph" w:styleId="3">
    <w:name w:val="heading 2"/>
    <w:basedOn w:val="1"/>
    <w:next w:val="1"/>
    <w:qFormat/>
    <w:uiPriority w:val="1"/>
    <w:pPr>
      <w:ind w:left="789"/>
      <w:outlineLvl w:val="1"/>
    </w:pPr>
    <w:rPr>
      <w:b/>
      <w:bCs/>
      <w:sz w:val="28"/>
      <w:szCs w:val="28"/>
    </w:rPr>
  </w:style>
  <w:style w:type="paragraph" w:styleId="4">
    <w:name w:val="heading 3"/>
    <w:basedOn w:val="1"/>
    <w:next w:val="1"/>
    <w:qFormat/>
    <w:uiPriority w:val="1"/>
    <w:pPr>
      <w:spacing w:before="186"/>
      <w:ind w:left="227"/>
      <w:outlineLvl w:val="2"/>
    </w:pPr>
    <w:rPr>
      <w:sz w:val="28"/>
      <w:szCs w:val="28"/>
    </w:rPr>
  </w:style>
  <w:style w:type="paragraph" w:styleId="5">
    <w:name w:val="heading 4"/>
    <w:basedOn w:val="1"/>
    <w:next w:val="1"/>
    <w:qFormat/>
    <w:uiPriority w:val="1"/>
    <w:pPr>
      <w:ind w:left="862"/>
      <w:outlineLvl w:val="3"/>
    </w:pPr>
    <w:rPr>
      <w:b/>
      <w:bCs/>
      <w:sz w:val="21"/>
      <w:szCs w:val="21"/>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9"/>
    <w:qFormat/>
    <w:uiPriority w:val="1"/>
    <w:rPr>
      <w:sz w:val="21"/>
      <w:szCs w:val="21"/>
    </w:rPr>
  </w:style>
  <w:style w:type="paragraph" w:styleId="7">
    <w:name w:val="Balloon Text"/>
    <w:basedOn w:val="1"/>
    <w:link w:val="16"/>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
    <w:name w:val="Table Normal"/>
    <w:unhideWhenUsed/>
    <w:qFormat/>
    <w:uiPriority w:val="2"/>
    <w:tblPr>
      <w:tblCellMar>
        <w:top w:w="0" w:type="dxa"/>
        <w:left w:w="0" w:type="dxa"/>
        <w:bottom w:w="0" w:type="dxa"/>
        <w:right w:w="0" w:type="dxa"/>
      </w:tblCellMar>
    </w:tblPr>
  </w:style>
  <w:style w:type="paragraph" w:customStyle="1" w:styleId="14">
    <w:name w:val="列出段落1"/>
    <w:basedOn w:val="1"/>
    <w:qFormat/>
    <w:uiPriority w:val="1"/>
    <w:pPr>
      <w:ind w:left="227" w:firstLine="420"/>
    </w:pPr>
  </w:style>
  <w:style w:type="paragraph" w:customStyle="1" w:styleId="15">
    <w:name w:val="Table Paragraph"/>
    <w:basedOn w:val="1"/>
    <w:qFormat/>
    <w:uiPriority w:val="1"/>
  </w:style>
  <w:style w:type="character" w:customStyle="1" w:styleId="16">
    <w:name w:val="批注框文本 Char"/>
    <w:basedOn w:val="12"/>
    <w:link w:val="7"/>
    <w:semiHidden/>
    <w:qFormat/>
    <w:uiPriority w:val="99"/>
    <w:rPr>
      <w:rFonts w:ascii="宋体" w:hAnsi="宋体" w:eastAsia="宋体" w:cs="宋体"/>
      <w:sz w:val="18"/>
      <w:szCs w:val="18"/>
      <w:lang w:val="zh-CN" w:eastAsia="zh-CN" w:bidi="zh-CN"/>
    </w:rPr>
  </w:style>
  <w:style w:type="character" w:customStyle="1" w:styleId="17">
    <w:name w:val="页眉 Char"/>
    <w:basedOn w:val="12"/>
    <w:link w:val="9"/>
    <w:qFormat/>
    <w:uiPriority w:val="99"/>
    <w:rPr>
      <w:rFonts w:ascii="宋体" w:hAnsi="宋体" w:eastAsia="宋体" w:cs="宋体"/>
      <w:sz w:val="18"/>
      <w:szCs w:val="18"/>
      <w:lang w:val="zh-CN" w:eastAsia="zh-CN" w:bidi="zh-CN"/>
    </w:rPr>
  </w:style>
  <w:style w:type="character" w:customStyle="1" w:styleId="18">
    <w:name w:val="页脚 Char"/>
    <w:basedOn w:val="12"/>
    <w:link w:val="8"/>
    <w:qFormat/>
    <w:uiPriority w:val="99"/>
    <w:rPr>
      <w:rFonts w:ascii="宋体" w:hAnsi="宋体" w:eastAsia="宋体" w:cs="宋体"/>
      <w:sz w:val="18"/>
      <w:szCs w:val="18"/>
      <w:lang w:val="zh-CN" w:eastAsia="zh-CN" w:bidi="zh-CN"/>
    </w:rPr>
  </w:style>
  <w:style w:type="character" w:customStyle="1" w:styleId="19">
    <w:name w:val="正文文本 Char"/>
    <w:basedOn w:val="12"/>
    <w:link w:val="6"/>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合肥产品质量监督检验研究院</Company>
  <Pages>3</Pages>
  <Words>190</Words>
  <Characters>1088</Characters>
  <Lines>9</Lines>
  <Paragraphs>2</Paragraphs>
  <TotalTime>0</TotalTime>
  <ScaleCrop>false</ScaleCrop>
  <LinksUpToDate>false</LinksUpToDate>
  <CharactersWithSpaces>1276</CharactersWithSpaces>
  <Application>WPS Office_6.15.1.8935_F1E327BC-269C-435d-A152-05C5408002CA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2024-01-27T00:36:00Z</dcterms:created>
  <dc:creator>合肥质检院，程浩</dc:creator>
  <cp:lastModifiedBy>Abt a song</cp:lastModifiedBy>
  <dcterms:modified xsi:type="dcterms:W3CDTF">2025-02-08T12:53:58Z</dcterms:modified>
  <dc:title>安全帽产品质量监督抽查实施细则</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2052-6.15.1.8935</vt:lpwstr>
  </property>
  <property fmtid="{D5CDD505-2E9C-101B-9397-08002B2CF9AE}" pid="6" name="ICV">
    <vt:lpwstr>410E1E2DC351DF6466E3A6678246402C_43</vt:lpwstr>
  </property>
</Properties>
</file>