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63FF44">
      <w:pPr>
        <w:autoSpaceDE/>
        <w:autoSpaceDN/>
        <w:snapToGrid w:val="0"/>
        <w:spacing w:line="600" w:lineRule="exact"/>
        <w:jc w:val="center"/>
        <w:rPr>
          <w:rFonts w:ascii="方正小标宋_GBK" w:hAnsi="方正小标宋_GBK" w:eastAsia="方正小标宋_GBK" w:cs="方正小标宋_GBK"/>
          <w:color w:val="000000"/>
          <w:kern w:val="2"/>
          <w:sz w:val="44"/>
          <w:szCs w:val="44"/>
          <w:lang w:val="en-US" w:bidi="ar-SA"/>
        </w:rPr>
      </w:pPr>
      <w:r>
        <w:rPr>
          <w:rFonts w:hint="eastAsia" w:ascii="方正小标宋_GBK" w:hAnsi="方正小标宋_GBK" w:eastAsia="方正小标宋_GBK" w:cs="方正小标宋_GBK"/>
          <w:color w:val="000000"/>
          <w:kern w:val="2"/>
          <w:sz w:val="44"/>
          <w:szCs w:val="44"/>
          <w:lang w:bidi="ar-SA"/>
        </w:rPr>
        <w:t>202</w:t>
      </w:r>
      <w:r>
        <w:rPr>
          <w:rFonts w:hint="eastAsia" w:ascii="方正小标宋_GBK" w:hAnsi="方正小标宋_GBK" w:eastAsia="方正小标宋_GBK" w:cs="方正小标宋_GBK"/>
          <w:color w:val="000000"/>
          <w:kern w:val="2"/>
          <w:sz w:val="44"/>
          <w:szCs w:val="44"/>
          <w:lang w:val="en-US" w:bidi="ar-SA"/>
        </w:rPr>
        <w:t>5年南通市手提式灭火器产品质量监督抽查</w:t>
      </w:r>
    </w:p>
    <w:p w14:paraId="5FE31E34">
      <w:pPr>
        <w:autoSpaceDE/>
        <w:autoSpaceDN/>
        <w:snapToGrid w:val="0"/>
        <w:spacing w:line="600" w:lineRule="exact"/>
        <w:jc w:val="center"/>
        <w:rPr>
          <w:rFonts w:ascii="方正小标宋_GBK" w:hAnsi="方正小标宋_GBK" w:eastAsia="方正小标宋_GBK" w:cs="方正小标宋_GBK"/>
          <w:kern w:val="2"/>
          <w:sz w:val="44"/>
          <w:szCs w:val="44"/>
          <w:lang w:val="en-US" w:bidi="ar-SA"/>
        </w:rPr>
      </w:pPr>
      <w:r>
        <w:rPr>
          <w:rFonts w:hint="eastAsia" w:ascii="方正小标宋_GBK" w:hAnsi="方正小标宋_GBK" w:eastAsia="方正小标宋_GBK" w:cs="方正小标宋_GBK"/>
          <w:color w:val="000000"/>
          <w:kern w:val="2"/>
          <w:sz w:val="44"/>
          <w:szCs w:val="44"/>
          <w:lang w:val="en-US" w:bidi="ar-SA"/>
        </w:rPr>
        <w:t>实施细则</w:t>
      </w:r>
    </w:p>
    <w:p w14:paraId="313753EF">
      <w:pPr>
        <w:autoSpaceDE/>
        <w:autoSpaceDN/>
        <w:spacing w:line="600" w:lineRule="exact"/>
        <w:ind w:firstLine="640" w:firstLineChars="200"/>
        <w:rPr>
          <w:rFonts w:ascii="方正黑体_GBK" w:hAnsi="方正仿宋_GBK" w:eastAsia="方正黑体_GBK" w:cs="方正仿宋_GBK"/>
          <w:sz w:val="32"/>
          <w:szCs w:val="32"/>
          <w:shd w:val="clear" w:color="auto" w:fill="FFFFFF"/>
        </w:rPr>
      </w:pPr>
      <w:r>
        <w:rPr>
          <w:rFonts w:hint="eastAsia" w:ascii="方正黑体_GBK" w:hAnsi="方正仿宋_GBK" w:eastAsia="方正黑体_GBK" w:cs="方正仿宋_GBK"/>
          <w:sz w:val="32"/>
          <w:szCs w:val="32"/>
          <w:shd w:val="clear" w:color="auto" w:fill="FFFFFF"/>
        </w:rPr>
        <w:t>1.范围</w:t>
      </w:r>
    </w:p>
    <w:p w14:paraId="4EBB3250">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本细则适用于南通市市场监督管理局组织的手提式灭火器产品质量监督抽查。本细则规定了此产品的抽样方法、检验依据、检验项目、检验方法、判定原则、异议处理及复检。</w:t>
      </w:r>
    </w:p>
    <w:p w14:paraId="043AB695">
      <w:pPr>
        <w:autoSpaceDE/>
        <w:autoSpaceDN/>
        <w:spacing w:line="600" w:lineRule="exact"/>
        <w:ind w:firstLine="640" w:firstLineChars="200"/>
        <w:rPr>
          <w:rFonts w:ascii="方正黑体_GBK" w:hAnsi="方正仿宋_GBK" w:eastAsia="方正黑体_GBK" w:cs="方正仿宋_GBK"/>
          <w:sz w:val="32"/>
          <w:szCs w:val="32"/>
          <w:shd w:val="clear" w:color="auto" w:fill="FFFFFF"/>
        </w:rPr>
      </w:pPr>
      <w:r>
        <w:rPr>
          <w:rFonts w:hint="eastAsia" w:ascii="方正黑体_GBK" w:hAnsi="方正仿宋_GBK" w:eastAsia="方正黑体_GBK" w:cs="方正仿宋_GBK"/>
          <w:sz w:val="32"/>
          <w:szCs w:val="32"/>
          <w:shd w:val="clear" w:color="auto" w:fill="FFFFFF"/>
        </w:rPr>
        <w:t>2.抽样方法</w:t>
      </w:r>
    </w:p>
    <w:p w14:paraId="3E82D0C5">
      <w:pPr>
        <w:autoSpaceDE/>
        <w:autoSpaceDN/>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生产企业、实体店抽样</w:t>
      </w:r>
    </w:p>
    <w:p w14:paraId="0AC1D158">
      <w:pPr>
        <w:autoSpaceDE/>
        <w:autoSpaceDN/>
        <w:spacing w:line="600" w:lineRule="exact"/>
        <w:ind w:firstLine="640" w:firstLineChars="200"/>
        <w:rPr>
          <w:rFonts w:ascii="方正仿宋_GBK" w:hAnsi="方正仿宋_GBK" w:eastAsia="方正仿宋_GBK" w:cs="方正仿宋_GBK"/>
          <w:kern w:val="2"/>
          <w:sz w:val="32"/>
          <w:szCs w:val="32"/>
          <w:lang w:val="en-US" w:bidi="ar-SA"/>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，付费</w:t>
      </w:r>
      <w:r>
        <w:rPr>
          <w:rFonts w:ascii="方正仿宋_GBK" w:hAnsi="方正仿宋_GBK" w:eastAsia="方正仿宋_GBK" w:cs="方正仿宋_GBK"/>
          <w:sz w:val="32"/>
          <w:szCs w:val="32"/>
        </w:rPr>
        <w:t>购买</w:t>
      </w:r>
      <w:r>
        <w:rPr>
          <w:rFonts w:hint="eastAsia" w:ascii="方正仿宋_GBK" w:hAnsi="方正仿宋_GBK" w:eastAsia="方正仿宋_GBK" w:cs="方正仿宋_GBK"/>
          <w:sz w:val="32"/>
          <w:szCs w:val="32"/>
        </w:rPr>
        <w:t>检验</w:t>
      </w:r>
      <w:r>
        <w:rPr>
          <w:rFonts w:ascii="方正仿宋_GBK" w:hAnsi="方正仿宋_GBK" w:eastAsia="方正仿宋_GBK" w:cs="方正仿宋_GBK"/>
          <w:sz w:val="32"/>
          <w:szCs w:val="32"/>
        </w:rPr>
        <w:t>样品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并</w:t>
      </w:r>
      <w:r>
        <w:rPr>
          <w:rFonts w:hint="eastAsia" w:ascii="方正仿宋_GBK" w:hAnsi="方正仿宋_GBK" w:eastAsia="方正仿宋_GBK" w:cs="方正仿宋_GBK"/>
          <w:sz w:val="32"/>
          <w:szCs w:val="32"/>
        </w:rPr>
        <w:t>索取发票等购样凭据留证。手提式灭火器产品</w:t>
      </w:r>
      <w:r>
        <w:rPr>
          <w:rFonts w:hint="eastAsia" w:ascii="方正仿宋_GBK" w:hAnsi="方正仿宋_GBK" w:eastAsia="方正仿宋_GBK" w:cs="方正仿宋_GBK"/>
          <w:kern w:val="2"/>
          <w:sz w:val="32"/>
          <w:szCs w:val="32"/>
          <w:lang w:val="en-US" w:bidi="ar-SA"/>
        </w:rPr>
        <w:t>抽样数量为6具，其中3具为检验样品，3具为备用样品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p>
    <w:p w14:paraId="60A7C18E">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sz w:val="32"/>
          <w:szCs w:val="32"/>
          <w:shd w:val="clear" w:color="auto" w:fill="FFFFFF"/>
        </w:rPr>
        <w:t>抽样工作由承检机构持“</w:t>
      </w:r>
      <w:r>
        <w:rPr>
          <w:rFonts w:hint="eastAsia" w:ascii="方正仿宋_GBK" w:hAnsi="方正仿宋_GBK" w:eastAsia="方正仿宋_GBK" w:cs="方正仿宋_GBK"/>
          <w:sz w:val="32"/>
          <w:szCs w:val="32"/>
        </w:rPr>
        <w:t>江苏省产品质量监督检验员证</w:t>
      </w:r>
      <w:r>
        <w:rPr>
          <w:rFonts w:hint="eastAsia" w:ascii="方正仿宋_GBK" w:hAnsi="方正仿宋_GBK" w:eastAsia="方正仿宋_GBK" w:cs="方正仿宋_GBK"/>
          <w:sz w:val="32"/>
          <w:szCs w:val="32"/>
          <w:shd w:val="clear" w:color="auto" w:fill="FFFFFF"/>
        </w:rPr>
        <w:t>”的不少于2名工作人员共同完成。检验用样品按销售标价或者市场交易价购买，采样过程均需拍照留证。一经采样，立即封样，任何人不得调换。</w:t>
      </w:r>
    </w:p>
    <w:p w14:paraId="074CD83C">
      <w:pPr>
        <w:autoSpaceDE/>
        <w:autoSpaceDN/>
        <w:spacing w:line="600" w:lineRule="exact"/>
        <w:ind w:firstLine="640" w:firstLineChars="200"/>
        <w:rPr>
          <w:rFonts w:ascii="方正黑体_GBK" w:hAnsi="方正仿宋_GBK" w:eastAsia="方正黑体_GBK" w:cs="方正仿宋_GBK"/>
          <w:sz w:val="32"/>
          <w:szCs w:val="32"/>
          <w:shd w:val="clear" w:color="auto" w:fill="FFFFFF"/>
        </w:rPr>
      </w:pPr>
      <w:r>
        <w:rPr>
          <w:rFonts w:hint="eastAsia" w:ascii="方正黑体_GBK" w:hAnsi="方正仿宋_GBK" w:eastAsia="方正黑体_GBK" w:cs="方正仿宋_GBK"/>
          <w:sz w:val="32"/>
          <w:szCs w:val="32"/>
          <w:shd w:val="clear" w:color="auto" w:fill="FFFFFF"/>
        </w:rPr>
        <w:t>3.检验依据</w:t>
      </w:r>
    </w:p>
    <w:p w14:paraId="71589CB7">
      <w:pPr>
        <w:autoSpaceDE/>
        <w:autoSpaceDN/>
        <w:spacing w:line="600" w:lineRule="exact"/>
        <w:ind w:firstLine="640" w:firstLineChars="200"/>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表1</w:t>
      </w:r>
      <w:r>
        <w:rPr>
          <w:rFonts w:hint="eastAsia" w:ascii="方正仿宋_GBK" w:hAnsi="方正仿宋_GBK" w:eastAsia="方正仿宋_GBK" w:cs="方正仿宋_GBK"/>
          <w:kern w:val="2"/>
          <w:sz w:val="32"/>
          <w:szCs w:val="32"/>
          <w:lang w:val="en-US" w:bidi="ar-SA"/>
        </w:rPr>
        <w:tab/>
      </w:r>
      <w:r>
        <w:rPr>
          <w:rFonts w:hint="eastAsia" w:ascii="方正仿宋_GBK" w:hAnsi="方正仿宋_GBK" w:eastAsia="方正仿宋_GBK" w:cs="方正仿宋_GBK"/>
          <w:kern w:val="2"/>
          <w:sz w:val="32"/>
          <w:szCs w:val="32"/>
          <w:lang w:val="en-US" w:bidi="ar-SA"/>
        </w:rPr>
        <w:t>手提式灭火器产品检验项目</w:t>
      </w:r>
    </w:p>
    <w:tbl>
      <w:tblPr>
        <w:tblStyle w:val="11"/>
        <w:tblW w:w="0" w:type="auto"/>
        <w:tblInd w:w="5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
        <w:gridCol w:w="2095"/>
        <w:gridCol w:w="2277"/>
        <w:gridCol w:w="1784"/>
        <w:gridCol w:w="2346"/>
      </w:tblGrid>
      <w:tr w14:paraId="6B6E5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9" w:hRule="atLeast"/>
        </w:trPr>
        <w:tc>
          <w:tcPr>
            <w:tcW w:w="958" w:type="dxa"/>
            <w:vAlign w:val="center"/>
          </w:tcPr>
          <w:p w14:paraId="46CBA8C9">
            <w:pPr>
              <w:snapToGrid w:val="0"/>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color w:val="000000"/>
                <w:sz w:val="32"/>
                <w:szCs w:val="32"/>
              </w:rPr>
              <w:t>序号</w:t>
            </w:r>
          </w:p>
        </w:tc>
        <w:tc>
          <w:tcPr>
            <w:tcW w:w="4372" w:type="dxa"/>
            <w:gridSpan w:val="2"/>
            <w:vAlign w:val="center"/>
          </w:tcPr>
          <w:p w14:paraId="27EFAF93">
            <w:pPr>
              <w:snapToGrid w:val="0"/>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color w:val="000000"/>
                <w:sz w:val="32"/>
                <w:szCs w:val="32"/>
              </w:rPr>
              <w:t>检验项目</w:t>
            </w:r>
          </w:p>
        </w:tc>
        <w:tc>
          <w:tcPr>
            <w:tcW w:w="1784" w:type="dxa"/>
            <w:vAlign w:val="center"/>
          </w:tcPr>
          <w:p w14:paraId="2E5732B8">
            <w:pPr>
              <w:snapToGrid w:val="0"/>
              <w:spacing w:line="600" w:lineRule="exact"/>
              <w:jc w:val="center"/>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判定依据</w:t>
            </w:r>
          </w:p>
        </w:tc>
        <w:tc>
          <w:tcPr>
            <w:tcW w:w="2346" w:type="dxa"/>
            <w:vAlign w:val="center"/>
          </w:tcPr>
          <w:p w14:paraId="31A961CA">
            <w:pPr>
              <w:snapToGrid w:val="0"/>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color w:val="000000"/>
                <w:sz w:val="32"/>
                <w:szCs w:val="32"/>
              </w:rPr>
              <w:t>检验方法</w:t>
            </w:r>
          </w:p>
        </w:tc>
      </w:tr>
      <w:tr w14:paraId="4139E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3" w:hRule="atLeast"/>
        </w:trPr>
        <w:tc>
          <w:tcPr>
            <w:tcW w:w="958" w:type="dxa"/>
            <w:vAlign w:val="center"/>
          </w:tcPr>
          <w:p w14:paraId="7948E3B9">
            <w:pPr>
              <w:autoSpaceDE/>
              <w:autoSpaceDN/>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1</w:t>
            </w:r>
          </w:p>
        </w:tc>
        <w:tc>
          <w:tcPr>
            <w:tcW w:w="4372" w:type="dxa"/>
            <w:gridSpan w:val="2"/>
            <w:vAlign w:val="center"/>
          </w:tcPr>
          <w:p w14:paraId="1C561E68">
            <w:pPr>
              <w:autoSpaceDE/>
              <w:autoSpaceDN/>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标志和颜色</w:t>
            </w:r>
          </w:p>
        </w:tc>
        <w:tc>
          <w:tcPr>
            <w:tcW w:w="1784" w:type="dxa"/>
            <w:vMerge w:val="restart"/>
            <w:vAlign w:val="center"/>
          </w:tcPr>
          <w:p w14:paraId="3DFE1BA2">
            <w:pPr>
              <w:autoSpaceDE/>
              <w:autoSpaceDN/>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GB4351.1-2005</w:t>
            </w:r>
          </w:p>
        </w:tc>
        <w:tc>
          <w:tcPr>
            <w:tcW w:w="2346" w:type="dxa"/>
            <w:vAlign w:val="center"/>
          </w:tcPr>
          <w:p w14:paraId="6BE60F02">
            <w:pPr>
              <w:autoSpaceDE/>
              <w:autoSpaceDN/>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sz w:val="32"/>
                <w:szCs w:val="32"/>
              </w:rPr>
              <w:t>GB4351.1-2005</w:t>
            </w:r>
          </w:p>
        </w:tc>
      </w:tr>
      <w:tr w14:paraId="23D2C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2" w:hRule="atLeast"/>
        </w:trPr>
        <w:tc>
          <w:tcPr>
            <w:tcW w:w="958" w:type="dxa"/>
            <w:vMerge w:val="restart"/>
            <w:vAlign w:val="center"/>
          </w:tcPr>
          <w:p w14:paraId="7272D162">
            <w:pPr>
              <w:autoSpaceDE/>
              <w:autoSpaceDN/>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2</w:t>
            </w:r>
          </w:p>
        </w:tc>
        <w:tc>
          <w:tcPr>
            <w:tcW w:w="2095" w:type="dxa"/>
            <w:vMerge w:val="restart"/>
            <w:vAlign w:val="center"/>
          </w:tcPr>
          <w:p w14:paraId="23FAA586">
            <w:pPr>
              <w:autoSpaceDE/>
              <w:autoSpaceDN/>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质量</w:t>
            </w:r>
          </w:p>
        </w:tc>
        <w:tc>
          <w:tcPr>
            <w:tcW w:w="2277" w:type="dxa"/>
            <w:vAlign w:val="center"/>
          </w:tcPr>
          <w:p w14:paraId="4FB98C07">
            <w:pPr>
              <w:snapToGrid w:val="0"/>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color w:val="000000"/>
                <w:sz w:val="32"/>
                <w:szCs w:val="32"/>
              </w:rPr>
              <w:t>灭火器总质量</w:t>
            </w:r>
          </w:p>
        </w:tc>
        <w:tc>
          <w:tcPr>
            <w:tcW w:w="1784" w:type="dxa"/>
            <w:vMerge w:val="continue"/>
            <w:vAlign w:val="center"/>
          </w:tcPr>
          <w:p w14:paraId="2F73F9AF">
            <w:pPr>
              <w:autoSpaceDE/>
              <w:autoSpaceDN/>
              <w:spacing w:line="600" w:lineRule="exact"/>
              <w:jc w:val="center"/>
              <w:rPr>
                <w:rFonts w:ascii="方正仿宋_GBK" w:hAnsi="方正仿宋_GBK" w:eastAsia="方正仿宋_GBK" w:cs="方正仿宋_GBK"/>
                <w:sz w:val="32"/>
                <w:szCs w:val="32"/>
              </w:rPr>
            </w:pPr>
          </w:p>
        </w:tc>
        <w:tc>
          <w:tcPr>
            <w:tcW w:w="2346" w:type="dxa"/>
            <w:vMerge w:val="restart"/>
            <w:vAlign w:val="center"/>
          </w:tcPr>
          <w:p w14:paraId="7044E5CE">
            <w:pPr>
              <w:autoSpaceDE/>
              <w:autoSpaceDN/>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sz w:val="32"/>
                <w:szCs w:val="32"/>
              </w:rPr>
              <w:t>GB4351.1-2005</w:t>
            </w:r>
          </w:p>
        </w:tc>
      </w:tr>
      <w:tr w14:paraId="2F573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2" w:hRule="atLeast"/>
        </w:trPr>
        <w:tc>
          <w:tcPr>
            <w:tcW w:w="958" w:type="dxa"/>
            <w:vMerge w:val="continue"/>
            <w:vAlign w:val="center"/>
          </w:tcPr>
          <w:p w14:paraId="5D6F99C7">
            <w:pPr>
              <w:autoSpaceDE/>
              <w:autoSpaceDN/>
              <w:spacing w:line="600" w:lineRule="exact"/>
              <w:jc w:val="center"/>
              <w:rPr>
                <w:rFonts w:ascii="方正仿宋_GBK" w:hAnsi="方正仿宋_GBK" w:eastAsia="方正仿宋_GBK" w:cs="方正仿宋_GBK"/>
                <w:kern w:val="2"/>
                <w:sz w:val="32"/>
                <w:szCs w:val="32"/>
                <w:lang w:val="en-US" w:bidi="ar-SA"/>
              </w:rPr>
            </w:pPr>
          </w:p>
        </w:tc>
        <w:tc>
          <w:tcPr>
            <w:tcW w:w="2095" w:type="dxa"/>
            <w:vMerge w:val="continue"/>
            <w:vAlign w:val="center"/>
          </w:tcPr>
          <w:p w14:paraId="69D114BC">
            <w:pPr>
              <w:autoSpaceDE/>
              <w:autoSpaceDN/>
              <w:spacing w:line="600" w:lineRule="exact"/>
              <w:jc w:val="center"/>
              <w:rPr>
                <w:rFonts w:ascii="方正仿宋_GBK" w:hAnsi="方正仿宋_GBK" w:eastAsia="方正仿宋_GBK" w:cs="方正仿宋_GBK"/>
                <w:kern w:val="2"/>
                <w:sz w:val="32"/>
                <w:szCs w:val="32"/>
                <w:lang w:val="en-US" w:bidi="ar-SA"/>
              </w:rPr>
            </w:pPr>
          </w:p>
        </w:tc>
        <w:tc>
          <w:tcPr>
            <w:tcW w:w="2277" w:type="dxa"/>
            <w:vAlign w:val="center"/>
          </w:tcPr>
          <w:p w14:paraId="68DBAC6C">
            <w:pPr>
              <w:snapToGrid w:val="0"/>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color w:val="000000"/>
                <w:sz w:val="32"/>
                <w:szCs w:val="32"/>
              </w:rPr>
              <w:t>灭火剂充装总量误差</w:t>
            </w:r>
          </w:p>
        </w:tc>
        <w:tc>
          <w:tcPr>
            <w:tcW w:w="1784" w:type="dxa"/>
            <w:vMerge w:val="continue"/>
            <w:vAlign w:val="center"/>
          </w:tcPr>
          <w:p w14:paraId="212827C6">
            <w:pPr>
              <w:autoSpaceDE/>
              <w:autoSpaceDN/>
              <w:spacing w:line="600" w:lineRule="exact"/>
              <w:jc w:val="center"/>
              <w:rPr>
                <w:rFonts w:ascii="方正仿宋_GBK" w:hAnsi="方正仿宋_GBK" w:eastAsia="方正仿宋_GBK" w:cs="方正仿宋_GBK"/>
                <w:kern w:val="2"/>
                <w:sz w:val="32"/>
                <w:szCs w:val="32"/>
                <w:lang w:val="en-US" w:bidi="ar-SA"/>
              </w:rPr>
            </w:pPr>
          </w:p>
        </w:tc>
        <w:tc>
          <w:tcPr>
            <w:tcW w:w="2346" w:type="dxa"/>
            <w:vMerge w:val="continue"/>
            <w:vAlign w:val="center"/>
          </w:tcPr>
          <w:p w14:paraId="2B3E5C2F">
            <w:pPr>
              <w:autoSpaceDE/>
              <w:autoSpaceDN/>
              <w:spacing w:line="600" w:lineRule="exact"/>
              <w:jc w:val="center"/>
              <w:rPr>
                <w:rFonts w:ascii="方正仿宋_GBK" w:hAnsi="方正仿宋_GBK" w:eastAsia="方正仿宋_GBK" w:cs="方正仿宋_GBK"/>
                <w:kern w:val="2"/>
                <w:sz w:val="32"/>
                <w:szCs w:val="32"/>
                <w:lang w:val="en-US" w:bidi="ar-SA"/>
              </w:rPr>
            </w:pPr>
          </w:p>
        </w:tc>
      </w:tr>
      <w:tr w14:paraId="0AC43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8" w:type="dxa"/>
            <w:vMerge w:val="restart"/>
            <w:vAlign w:val="center"/>
          </w:tcPr>
          <w:p w14:paraId="671A6409">
            <w:pPr>
              <w:autoSpaceDE/>
              <w:autoSpaceDN/>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3</w:t>
            </w:r>
          </w:p>
        </w:tc>
        <w:tc>
          <w:tcPr>
            <w:tcW w:w="2095" w:type="dxa"/>
            <w:vMerge w:val="restart"/>
            <w:vAlign w:val="center"/>
          </w:tcPr>
          <w:p w14:paraId="5453A17D">
            <w:pPr>
              <w:autoSpaceDE/>
              <w:autoSpaceDN/>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color w:val="000000"/>
                <w:sz w:val="32"/>
                <w:szCs w:val="32"/>
              </w:rPr>
              <w:t>20℃温度喷射性能试验</w:t>
            </w:r>
          </w:p>
        </w:tc>
        <w:tc>
          <w:tcPr>
            <w:tcW w:w="2277" w:type="dxa"/>
            <w:vAlign w:val="center"/>
          </w:tcPr>
          <w:p w14:paraId="007C05C1">
            <w:pPr>
              <w:snapToGrid w:val="0"/>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color w:val="000000"/>
                <w:sz w:val="32"/>
                <w:szCs w:val="32"/>
              </w:rPr>
              <w:t xml:space="preserve">最小有效喷射时间 </w:t>
            </w:r>
          </w:p>
        </w:tc>
        <w:tc>
          <w:tcPr>
            <w:tcW w:w="1784" w:type="dxa"/>
            <w:vMerge w:val="continue"/>
            <w:vAlign w:val="center"/>
          </w:tcPr>
          <w:p w14:paraId="2331F98D">
            <w:pPr>
              <w:autoSpaceDE/>
              <w:autoSpaceDN/>
              <w:spacing w:line="600" w:lineRule="exact"/>
              <w:jc w:val="center"/>
              <w:rPr>
                <w:rFonts w:ascii="方正仿宋_GBK" w:hAnsi="方正仿宋_GBK" w:eastAsia="方正仿宋_GBK" w:cs="方正仿宋_GBK"/>
                <w:sz w:val="32"/>
                <w:szCs w:val="32"/>
              </w:rPr>
            </w:pPr>
          </w:p>
        </w:tc>
        <w:tc>
          <w:tcPr>
            <w:tcW w:w="2346" w:type="dxa"/>
            <w:vMerge w:val="restart"/>
            <w:vAlign w:val="center"/>
          </w:tcPr>
          <w:p w14:paraId="5580CAF1">
            <w:pPr>
              <w:autoSpaceDE/>
              <w:autoSpaceDN/>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sz w:val="32"/>
                <w:szCs w:val="32"/>
              </w:rPr>
              <w:t>GB4351.1-2005</w:t>
            </w:r>
          </w:p>
        </w:tc>
      </w:tr>
      <w:tr w14:paraId="563EF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8" w:type="dxa"/>
            <w:vMerge w:val="continue"/>
            <w:vAlign w:val="center"/>
          </w:tcPr>
          <w:p w14:paraId="553F114D">
            <w:pPr>
              <w:autoSpaceDE/>
              <w:autoSpaceDN/>
              <w:spacing w:line="600" w:lineRule="exact"/>
              <w:jc w:val="center"/>
              <w:rPr>
                <w:rFonts w:ascii="方正仿宋_GBK" w:hAnsi="方正仿宋_GBK" w:eastAsia="方正仿宋_GBK" w:cs="方正仿宋_GBK"/>
                <w:kern w:val="2"/>
                <w:sz w:val="32"/>
                <w:szCs w:val="32"/>
                <w:lang w:val="en-US" w:bidi="ar-SA"/>
              </w:rPr>
            </w:pPr>
          </w:p>
        </w:tc>
        <w:tc>
          <w:tcPr>
            <w:tcW w:w="2095" w:type="dxa"/>
            <w:vMerge w:val="continue"/>
            <w:vAlign w:val="center"/>
          </w:tcPr>
          <w:p w14:paraId="7A83ABDF">
            <w:pPr>
              <w:autoSpaceDE/>
              <w:autoSpaceDN/>
              <w:spacing w:line="600" w:lineRule="exact"/>
              <w:jc w:val="center"/>
              <w:rPr>
                <w:rFonts w:ascii="方正仿宋_GBK" w:hAnsi="方正仿宋_GBK" w:eastAsia="方正仿宋_GBK" w:cs="方正仿宋_GBK"/>
                <w:kern w:val="2"/>
                <w:sz w:val="32"/>
                <w:szCs w:val="32"/>
                <w:lang w:val="en-US" w:bidi="ar-SA"/>
              </w:rPr>
            </w:pPr>
          </w:p>
        </w:tc>
        <w:tc>
          <w:tcPr>
            <w:tcW w:w="2277" w:type="dxa"/>
            <w:vAlign w:val="center"/>
          </w:tcPr>
          <w:p w14:paraId="6C57B275">
            <w:pPr>
              <w:snapToGrid w:val="0"/>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color w:val="000000"/>
                <w:sz w:val="32"/>
                <w:szCs w:val="32"/>
              </w:rPr>
              <w:t>最小喷射距离</w:t>
            </w:r>
          </w:p>
        </w:tc>
        <w:tc>
          <w:tcPr>
            <w:tcW w:w="1784" w:type="dxa"/>
            <w:vMerge w:val="continue"/>
            <w:vAlign w:val="center"/>
          </w:tcPr>
          <w:p w14:paraId="153095B1">
            <w:pPr>
              <w:autoSpaceDE/>
              <w:autoSpaceDN/>
              <w:spacing w:line="600" w:lineRule="exact"/>
              <w:jc w:val="center"/>
              <w:rPr>
                <w:rFonts w:ascii="方正仿宋_GBK" w:hAnsi="方正仿宋_GBK" w:eastAsia="方正仿宋_GBK" w:cs="方正仿宋_GBK"/>
                <w:kern w:val="2"/>
                <w:sz w:val="32"/>
                <w:szCs w:val="32"/>
                <w:lang w:val="en-US" w:bidi="ar-SA"/>
              </w:rPr>
            </w:pPr>
          </w:p>
        </w:tc>
        <w:tc>
          <w:tcPr>
            <w:tcW w:w="2346" w:type="dxa"/>
            <w:vMerge w:val="continue"/>
            <w:vAlign w:val="center"/>
          </w:tcPr>
          <w:p w14:paraId="54C998A9">
            <w:pPr>
              <w:autoSpaceDE/>
              <w:autoSpaceDN/>
              <w:spacing w:line="600" w:lineRule="exact"/>
              <w:jc w:val="center"/>
              <w:rPr>
                <w:rFonts w:ascii="方正仿宋_GBK" w:hAnsi="方正仿宋_GBK" w:eastAsia="方正仿宋_GBK" w:cs="方正仿宋_GBK"/>
                <w:kern w:val="2"/>
                <w:sz w:val="32"/>
                <w:szCs w:val="32"/>
                <w:lang w:val="en-US" w:bidi="ar-SA"/>
              </w:rPr>
            </w:pPr>
          </w:p>
        </w:tc>
      </w:tr>
      <w:tr w14:paraId="29BA0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8" w:type="dxa"/>
            <w:vMerge w:val="continue"/>
            <w:vAlign w:val="center"/>
          </w:tcPr>
          <w:p w14:paraId="6F4DFFEC">
            <w:pPr>
              <w:autoSpaceDE/>
              <w:autoSpaceDN/>
              <w:spacing w:line="600" w:lineRule="exact"/>
              <w:jc w:val="center"/>
              <w:rPr>
                <w:rFonts w:ascii="方正仿宋_GBK" w:hAnsi="方正仿宋_GBK" w:eastAsia="方正仿宋_GBK" w:cs="方正仿宋_GBK"/>
                <w:kern w:val="2"/>
                <w:sz w:val="32"/>
                <w:szCs w:val="32"/>
                <w:lang w:val="en-US" w:bidi="ar-SA"/>
              </w:rPr>
            </w:pPr>
          </w:p>
        </w:tc>
        <w:tc>
          <w:tcPr>
            <w:tcW w:w="2095" w:type="dxa"/>
            <w:vMerge w:val="continue"/>
            <w:vAlign w:val="center"/>
          </w:tcPr>
          <w:p w14:paraId="1E5A8F14">
            <w:pPr>
              <w:autoSpaceDE/>
              <w:autoSpaceDN/>
              <w:spacing w:line="600" w:lineRule="exact"/>
              <w:jc w:val="center"/>
              <w:rPr>
                <w:rFonts w:ascii="方正仿宋_GBK" w:hAnsi="方正仿宋_GBK" w:eastAsia="方正仿宋_GBK" w:cs="方正仿宋_GBK"/>
                <w:kern w:val="2"/>
                <w:sz w:val="32"/>
                <w:szCs w:val="32"/>
                <w:lang w:val="en-US" w:bidi="ar-SA"/>
              </w:rPr>
            </w:pPr>
          </w:p>
        </w:tc>
        <w:tc>
          <w:tcPr>
            <w:tcW w:w="2277" w:type="dxa"/>
            <w:vAlign w:val="center"/>
          </w:tcPr>
          <w:p w14:paraId="10BAAAC6">
            <w:pPr>
              <w:snapToGrid w:val="0"/>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color w:val="000000"/>
                <w:sz w:val="32"/>
                <w:szCs w:val="32"/>
              </w:rPr>
              <w:t>喷射滞后时间</w:t>
            </w:r>
          </w:p>
        </w:tc>
        <w:tc>
          <w:tcPr>
            <w:tcW w:w="1784" w:type="dxa"/>
            <w:vMerge w:val="continue"/>
            <w:vAlign w:val="center"/>
          </w:tcPr>
          <w:p w14:paraId="19B08C9C">
            <w:pPr>
              <w:autoSpaceDE/>
              <w:autoSpaceDN/>
              <w:spacing w:line="600" w:lineRule="exact"/>
              <w:jc w:val="center"/>
              <w:rPr>
                <w:rFonts w:ascii="方正仿宋_GBK" w:hAnsi="方正仿宋_GBK" w:eastAsia="方正仿宋_GBK" w:cs="方正仿宋_GBK"/>
                <w:kern w:val="2"/>
                <w:sz w:val="32"/>
                <w:szCs w:val="32"/>
                <w:lang w:val="en-US" w:bidi="ar-SA"/>
              </w:rPr>
            </w:pPr>
          </w:p>
        </w:tc>
        <w:tc>
          <w:tcPr>
            <w:tcW w:w="2346" w:type="dxa"/>
            <w:vMerge w:val="continue"/>
            <w:vAlign w:val="center"/>
          </w:tcPr>
          <w:p w14:paraId="093CEA1E">
            <w:pPr>
              <w:autoSpaceDE/>
              <w:autoSpaceDN/>
              <w:spacing w:line="600" w:lineRule="exact"/>
              <w:jc w:val="center"/>
              <w:rPr>
                <w:rFonts w:ascii="方正仿宋_GBK" w:hAnsi="方正仿宋_GBK" w:eastAsia="方正仿宋_GBK" w:cs="方正仿宋_GBK"/>
                <w:kern w:val="2"/>
                <w:sz w:val="32"/>
                <w:szCs w:val="32"/>
                <w:lang w:val="en-US" w:bidi="ar-SA"/>
              </w:rPr>
            </w:pPr>
          </w:p>
        </w:tc>
      </w:tr>
      <w:tr w14:paraId="46C7D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8" w:type="dxa"/>
            <w:vMerge w:val="continue"/>
            <w:vAlign w:val="center"/>
          </w:tcPr>
          <w:p w14:paraId="1A6C7877">
            <w:pPr>
              <w:autoSpaceDE/>
              <w:autoSpaceDN/>
              <w:spacing w:line="600" w:lineRule="exact"/>
              <w:jc w:val="center"/>
              <w:rPr>
                <w:rFonts w:ascii="方正仿宋_GBK" w:hAnsi="方正仿宋_GBK" w:eastAsia="方正仿宋_GBK" w:cs="方正仿宋_GBK"/>
                <w:kern w:val="2"/>
                <w:sz w:val="32"/>
                <w:szCs w:val="32"/>
                <w:lang w:val="en-US" w:bidi="ar-SA"/>
              </w:rPr>
            </w:pPr>
          </w:p>
        </w:tc>
        <w:tc>
          <w:tcPr>
            <w:tcW w:w="2095" w:type="dxa"/>
            <w:vMerge w:val="continue"/>
            <w:vAlign w:val="center"/>
          </w:tcPr>
          <w:p w14:paraId="521F08F4">
            <w:pPr>
              <w:autoSpaceDE/>
              <w:autoSpaceDN/>
              <w:spacing w:line="600" w:lineRule="exact"/>
              <w:jc w:val="center"/>
              <w:rPr>
                <w:rFonts w:ascii="方正仿宋_GBK" w:hAnsi="方正仿宋_GBK" w:eastAsia="方正仿宋_GBK" w:cs="方正仿宋_GBK"/>
                <w:kern w:val="2"/>
                <w:sz w:val="32"/>
                <w:szCs w:val="32"/>
                <w:lang w:val="en-US" w:bidi="ar-SA"/>
              </w:rPr>
            </w:pPr>
          </w:p>
        </w:tc>
        <w:tc>
          <w:tcPr>
            <w:tcW w:w="2277" w:type="dxa"/>
            <w:vAlign w:val="center"/>
          </w:tcPr>
          <w:p w14:paraId="39AB10DE">
            <w:pPr>
              <w:snapToGrid w:val="0"/>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color w:val="000000"/>
                <w:sz w:val="32"/>
                <w:szCs w:val="32"/>
              </w:rPr>
              <w:t>喷射剩余率</w:t>
            </w:r>
          </w:p>
        </w:tc>
        <w:tc>
          <w:tcPr>
            <w:tcW w:w="1784" w:type="dxa"/>
            <w:vMerge w:val="continue"/>
            <w:vAlign w:val="center"/>
          </w:tcPr>
          <w:p w14:paraId="5C029CC3">
            <w:pPr>
              <w:autoSpaceDE/>
              <w:autoSpaceDN/>
              <w:spacing w:line="600" w:lineRule="exact"/>
              <w:jc w:val="center"/>
              <w:rPr>
                <w:rFonts w:ascii="方正仿宋_GBK" w:hAnsi="方正仿宋_GBK" w:eastAsia="方正仿宋_GBK" w:cs="方正仿宋_GBK"/>
                <w:kern w:val="2"/>
                <w:sz w:val="32"/>
                <w:szCs w:val="32"/>
                <w:lang w:val="en-US" w:bidi="ar-SA"/>
              </w:rPr>
            </w:pPr>
          </w:p>
        </w:tc>
        <w:tc>
          <w:tcPr>
            <w:tcW w:w="2346" w:type="dxa"/>
            <w:vMerge w:val="continue"/>
            <w:vAlign w:val="center"/>
          </w:tcPr>
          <w:p w14:paraId="19D5B2E5">
            <w:pPr>
              <w:autoSpaceDE/>
              <w:autoSpaceDN/>
              <w:spacing w:line="600" w:lineRule="exact"/>
              <w:jc w:val="center"/>
              <w:rPr>
                <w:rFonts w:ascii="方正仿宋_GBK" w:hAnsi="方正仿宋_GBK" w:eastAsia="方正仿宋_GBK" w:cs="方正仿宋_GBK"/>
                <w:kern w:val="2"/>
                <w:sz w:val="32"/>
                <w:szCs w:val="32"/>
                <w:lang w:val="en-US" w:bidi="ar-SA"/>
              </w:rPr>
            </w:pPr>
          </w:p>
        </w:tc>
      </w:tr>
      <w:tr w14:paraId="4E80A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8" w:type="dxa"/>
            <w:vAlign w:val="center"/>
          </w:tcPr>
          <w:p w14:paraId="08523ECE">
            <w:pPr>
              <w:autoSpaceDE/>
              <w:autoSpaceDN/>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4</w:t>
            </w:r>
          </w:p>
        </w:tc>
        <w:tc>
          <w:tcPr>
            <w:tcW w:w="4372" w:type="dxa"/>
            <w:gridSpan w:val="2"/>
            <w:vAlign w:val="center"/>
          </w:tcPr>
          <w:p w14:paraId="6E438B56">
            <w:pPr>
              <w:snapToGrid w:val="0"/>
              <w:spacing w:line="600" w:lineRule="exact"/>
              <w:jc w:val="center"/>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kern w:val="2"/>
                <w:sz w:val="32"/>
                <w:szCs w:val="32"/>
                <w:lang w:val="en-US" w:bidi="ar-SA"/>
              </w:rPr>
              <w:t>密封性能</w:t>
            </w:r>
          </w:p>
        </w:tc>
        <w:tc>
          <w:tcPr>
            <w:tcW w:w="1784" w:type="dxa"/>
            <w:vMerge w:val="restart"/>
            <w:vAlign w:val="center"/>
          </w:tcPr>
          <w:p w14:paraId="1AE7A333">
            <w:pPr>
              <w:autoSpaceDE/>
              <w:autoSpaceDN/>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GB4351.1-2005</w:t>
            </w:r>
          </w:p>
        </w:tc>
        <w:tc>
          <w:tcPr>
            <w:tcW w:w="2346" w:type="dxa"/>
            <w:vAlign w:val="center"/>
          </w:tcPr>
          <w:p w14:paraId="64F8750C">
            <w:pPr>
              <w:autoSpaceDE/>
              <w:autoSpaceDN/>
              <w:spacing w:line="600" w:lineRule="exact"/>
              <w:jc w:val="center"/>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GB4351.1-2005</w:t>
            </w:r>
          </w:p>
          <w:p w14:paraId="76E4ABBF">
            <w:pPr>
              <w:autoSpaceDE/>
              <w:autoSpaceDN/>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GB 4351-2023</w:t>
            </w:r>
          </w:p>
        </w:tc>
      </w:tr>
      <w:tr w14:paraId="61576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8" w:type="dxa"/>
            <w:vAlign w:val="center"/>
          </w:tcPr>
          <w:p w14:paraId="5A426BAE">
            <w:pPr>
              <w:autoSpaceDE/>
              <w:autoSpaceDN/>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5</w:t>
            </w:r>
          </w:p>
        </w:tc>
        <w:tc>
          <w:tcPr>
            <w:tcW w:w="4372" w:type="dxa"/>
            <w:gridSpan w:val="2"/>
            <w:vAlign w:val="center"/>
          </w:tcPr>
          <w:p w14:paraId="460595E1">
            <w:pPr>
              <w:snapToGrid w:val="0"/>
              <w:spacing w:line="600" w:lineRule="exact"/>
              <w:jc w:val="center"/>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水压试验（筒体）</w:t>
            </w:r>
          </w:p>
        </w:tc>
        <w:tc>
          <w:tcPr>
            <w:tcW w:w="1784" w:type="dxa"/>
            <w:vMerge w:val="continue"/>
            <w:vAlign w:val="center"/>
          </w:tcPr>
          <w:p w14:paraId="0A80F76F">
            <w:pPr>
              <w:autoSpaceDE/>
              <w:autoSpaceDN/>
              <w:spacing w:line="600" w:lineRule="exact"/>
              <w:jc w:val="center"/>
              <w:rPr>
                <w:rFonts w:ascii="方正仿宋_GBK" w:hAnsi="方正仿宋_GBK" w:eastAsia="方正仿宋_GBK" w:cs="方正仿宋_GBK"/>
                <w:sz w:val="32"/>
                <w:szCs w:val="32"/>
              </w:rPr>
            </w:pPr>
          </w:p>
        </w:tc>
        <w:tc>
          <w:tcPr>
            <w:tcW w:w="2346" w:type="dxa"/>
            <w:vAlign w:val="center"/>
          </w:tcPr>
          <w:p w14:paraId="2874EA01">
            <w:pPr>
              <w:autoSpaceDE/>
              <w:autoSpaceDN/>
              <w:spacing w:line="600" w:lineRule="exact"/>
              <w:jc w:val="center"/>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GB4351.1-2005</w:t>
            </w:r>
          </w:p>
          <w:p w14:paraId="167218AE">
            <w:pPr>
              <w:autoSpaceDE/>
              <w:autoSpaceDN/>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GB 4351-2023</w:t>
            </w:r>
          </w:p>
        </w:tc>
      </w:tr>
      <w:tr w14:paraId="013F6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8" w:type="dxa"/>
            <w:vMerge w:val="restart"/>
            <w:vAlign w:val="center"/>
          </w:tcPr>
          <w:p w14:paraId="00236547">
            <w:pPr>
              <w:autoSpaceDE/>
              <w:autoSpaceDN/>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6</w:t>
            </w:r>
          </w:p>
        </w:tc>
        <w:tc>
          <w:tcPr>
            <w:tcW w:w="2095" w:type="dxa"/>
            <w:vMerge w:val="restart"/>
            <w:vAlign w:val="center"/>
          </w:tcPr>
          <w:p w14:paraId="2751E452">
            <w:pPr>
              <w:snapToGrid w:val="0"/>
              <w:spacing w:line="600" w:lineRule="exact"/>
              <w:jc w:val="center"/>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爆破试验</w:t>
            </w:r>
          </w:p>
        </w:tc>
        <w:tc>
          <w:tcPr>
            <w:tcW w:w="2277" w:type="dxa"/>
            <w:vAlign w:val="center"/>
          </w:tcPr>
          <w:p w14:paraId="448ACC16">
            <w:pPr>
              <w:snapToGrid w:val="0"/>
              <w:spacing w:line="600" w:lineRule="exact"/>
              <w:jc w:val="center"/>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筒体爆破压力</w:t>
            </w:r>
          </w:p>
        </w:tc>
        <w:tc>
          <w:tcPr>
            <w:tcW w:w="1784" w:type="dxa"/>
            <w:vMerge w:val="continue"/>
            <w:vAlign w:val="center"/>
          </w:tcPr>
          <w:p w14:paraId="61F66A7D">
            <w:pPr>
              <w:autoSpaceDE/>
              <w:autoSpaceDN/>
              <w:spacing w:line="600" w:lineRule="exact"/>
              <w:jc w:val="center"/>
              <w:rPr>
                <w:rFonts w:ascii="方正仿宋_GBK" w:hAnsi="方正仿宋_GBK" w:eastAsia="方正仿宋_GBK" w:cs="方正仿宋_GBK"/>
                <w:sz w:val="32"/>
                <w:szCs w:val="32"/>
              </w:rPr>
            </w:pPr>
          </w:p>
        </w:tc>
        <w:tc>
          <w:tcPr>
            <w:tcW w:w="2346" w:type="dxa"/>
            <w:vMerge w:val="restart"/>
            <w:vAlign w:val="center"/>
          </w:tcPr>
          <w:p w14:paraId="39333527">
            <w:pPr>
              <w:autoSpaceDE/>
              <w:autoSpaceDN/>
              <w:spacing w:line="600" w:lineRule="exact"/>
              <w:jc w:val="center"/>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GB4351.1-2005</w:t>
            </w:r>
          </w:p>
          <w:p w14:paraId="58082CCA">
            <w:pPr>
              <w:autoSpaceDE/>
              <w:autoSpaceDN/>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kern w:val="2"/>
                <w:sz w:val="32"/>
                <w:szCs w:val="32"/>
                <w:lang w:val="en-US" w:bidi="ar-SA"/>
              </w:rPr>
              <w:t>GB 4351-2023</w:t>
            </w:r>
          </w:p>
        </w:tc>
      </w:tr>
      <w:tr w14:paraId="5BCA2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8" w:type="dxa"/>
            <w:vMerge w:val="continue"/>
            <w:vAlign w:val="center"/>
          </w:tcPr>
          <w:p w14:paraId="73A64F12">
            <w:pPr>
              <w:autoSpaceDE/>
              <w:autoSpaceDN/>
              <w:spacing w:line="600" w:lineRule="exact"/>
              <w:jc w:val="center"/>
              <w:rPr>
                <w:rFonts w:ascii="方正仿宋_GBK" w:hAnsi="方正仿宋_GBK" w:eastAsia="方正仿宋_GBK" w:cs="方正仿宋_GBK"/>
                <w:kern w:val="2"/>
                <w:sz w:val="32"/>
                <w:szCs w:val="32"/>
                <w:lang w:val="en-US" w:bidi="ar-SA"/>
              </w:rPr>
            </w:pPr>
          </w:p>
        </w:tc>
        <w:tc>
          <w:tcPr>
            <w:tcW w:w="2095" w:type="dxa"/>
            <w:vMerge w:val="continue"/>
            <w:vAlign w:val="center"/>
          </w:tcPr>
          <w:p w14:paraId="0B299F04">
            <w:pPr>
              <w:snapToGrid w:val="0"/>
              <w:spacing w:line="600" w:lineRule="exact"/>
              <w:jc w:val="center"/>
              <w:rPr>
                <w:rFonts w:ascii="方正仿宋_GBK" w:hAnsi="方正仿宋_GBK" w:eastAsia="方正仿宋_GBK" w:cs="方正仿宋_GBK"/>
                <w:color w:val="000000"/>
                <w:sz w:val="32"/>
                <w:szCs w:val="32"/>
              </w:rPr>
            </w:pPr>
          </w:p>
        </w:tc>
        <w:tc>
          <w:tcPr>
            <w:tcW w:w="2277" w:type="dxa"/>
            <w:vAlign w:val="center"/>
          </w:tcPr>
          <w:p w14:paraId="70A57451">
            <w:pPr>
              <w:snapToGrid w:val="0"/>
              <w:spacing w:line="600" w:lineRule="exact"/>
              <w:jc w:val="center"/>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筒体爆破口情况</w:t>
            </w:r>
          </w:p>
        </w:tc>
        <w:tc>
          <w:tcPr>
            <w:tcW w:w="1784" w:type="dxa"/>
            <w:vMerge w:val="continue"/>
            <w:vAlign w:val="center"/>
          </w:tcPr>
          <w:p w14:paraId="6B846113">
            <w:pPr>
              <w:autoSpaceDE/>
              <w:autoSpaceDN/>
              <w:spacing w:line="600" w:lineRule="exact"/>
              <w:jc w:val="center"/>
              <w:rPr>
                <w:rFonts w:ascii="方正仿宋_GBK" w:hAnsi="方正仿宋_GBK" w:eastAsia="方正仿宋_GBK" w:cs="方正仿宋_GBK"/>
                <w:sz w:val="32"/>
                <w:szCs w:val="32"/>
              </w:rPr>
            </w:pPr>
          </w:p>
        </w:tc>
        <w:tc>
          <w:tcPr>
            <w:tcW w:w="2346" w:type="dxa"/>
            <w:vMerge w:val="continue"/>
            <w:vAlign w:val="center"/>
          </w:tcPr>
          <w:p w14:paraId="54811540">
            <w:pPr>
              <w:autoSpaceDE/>
              <w:autoSpaceDN/>
              <w:spacing w:line="600" w:lineRule="exact"/>
              <w:jc w:val="center"/>
              <w:rPr>
                <w:rFonts w:ascii="方正仿宋_GBK" w:hAnsi="方正仿宋_GBK" w:eastAsia="方正仿宋_GBK" w:cs="方正仿宋_GBK"/>
                <w:sz w:val="32"/>
                <w:szCs w:val="32"/>
              </w:rPr>
            </w:pPr>
          </w:p>
        </w:tc>
      </w:tr>
      <w:tr w14:paraId="3E2EF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8" w:type="dxa"/>
            <w:vAlign w:val="center"/>
          </w:tcPr>
          <w:p w14:paraId="5F60B17A">
            <w:pPr>
              <w:autoSpaceDE/>
              <w:autoSpaceDN/>
              <w:spacing w:line="600" w:lineRule="exact"/>
              <w:jc w:val="center"/>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7</w:t>
            </w:r>
          </w:p>
        </w:tc>
        <w:tc>
          <w:tcPr>
            <w:tcW w:w="2095" w:type="dxa"/>
            <w:vAlign w:val="center"/>
          </w:tcPr>
          <w:p w14:paraId="1BA852C4">
            <w:pPr>
              <w:snapToGrid w:val="0"/>
              <w:spacing w:line="600" w:lineRule="exact"/>
              <w:jc w:val="center"/>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灭火剂和驱动气体</w:t>
            </w:r>
          </w:p>
          <w:p w14:paraId="38EABC77">
            <w:pPr>
              <w:snapToGrid w:val="0"/>
              <w:spacing w:line="600" w:lineRule="exact"/>
              <w:jc w:val="center"/>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（干粉灭火剂）</w:t>
            </w:r>
          </w:p>
        </w:tc>
        <w:tc>
          <w:tcPr>
            <w:tcW w:w="2277" w:type="dxa"/>
            <w:vAlign w:val="center"/>
          </w:tcPr>
          <w:p w14:paraId="61C47706">
            <w:pPr>
              <w:snapToGrid w:val="0"/>
              <w:spacing w:line="600" w:lineRule="exact"/>
              <w:jc w:val="center"/>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第一主要组分含量</w:t>
            </w:r>
          </w:p>
        </w:tc>
        <w:tc>
          <w:tcPr>
            <w:tcW w:w="1784" w:type="dxa"/>
            <w:vMerge w:val="continue"/>
            <w:vAlign w:val="center"/>
          </w:tcPr>
          <w:p w14:paraId="552D6933">
            <w:pPr>
              <w:autoSpaceDE/>
              <w:autoSpaceDN/>
              <w:spacing w:line="600" w:lineRule="exact"/>
              <w:jc w:val="both"/>
              <w:rPr>
                <w:rFonts w:ascii="方正仿宋_GBK" w:hAnsi="方正仿宋_GBK" w:eastAsia="方正仿宋_GBK" w:cs="方正仿宋_GBK"/>
                <w:color w:val="000000"/>
                <w:sz w:val="32"/>
                <w:szCs w:val="32"/>
              </w:rPr>
            </w:pPr>
          </w:p>
        </w:tc>
        <w:tc>
          <w:tcPr>
            <w:tcW w:w="2346" w:type="dxa"/>
            <w:vAlign w:val="center"/>
          </w:tcPr>
          <w:p w14:paraId="6A0E70E5">
            <w:pPr>
              <w:autoSpaceDE/>
              <w:autoSpaceDN/>
              <w:spacing w:line="600" w:lineRule="exact"/>
              <w:jc w:val="center"/>
              <w:rPr>
                <w:rFonts w:ascii="方正仿宋_GBK" w:hAnsi="方正仿宋_GBK" w:eastAsia="方正仿宋_GBK" w:cs="方正仿宋_GBK"/>
                <w:sz w:val="32"/>
                <w:szCs w:val="32"/>
              </w:rPr>
            </w:pPr>
            <w:r>
              <w:rPr>
                <w:rFonts w:hint="eastAsia" w:ascii="方正仿宋_GBK" w:hAnsi="方正仿宋_GBK" w:eastAsia="方正仿宋_GBK" w:cs="方正仿宋_GBK"/>
                <w:color w:val="000000"/>
                <w:sz w:val="32"/>
                <w:szCs w:val="32"/>
              </w:rPr>
              <w:t>GB 4066-2017</w:t>
            </w:r>
          </w:p>
        </w:tc>
      </w:tr>
    </w:tbl>
    <w:p w14:paraId="32DE46B6">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p>
    <w:p w14:paraId="46ACA7F5">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检验方法包括相关产品标准及试验方法标准。</w:t>
      </w:r>
    </w:p>
    <w:p w14:paraId="0BFBE368">
      <w:pPr>
        <w:autoSpaceDE/>
        <w:autoSpaceDN/>
        <w:spacing w:line="600" w:lineRule="exact"/>
        <w:ind w:firstLine="640" w:firstLineChars="200"/>
        <w:jc w:val="both"/>
        <w:rPr>
          <w:rFonts w:ascii="方正黑体_GBK" w:hAnsi="方正仿宋_GBK" w:eastAsia="方正黑体_GBK" w:cs="方正仿宋_GBK"/>
          <w:sz w:val="32"/>
          <w:szCs w:val="32"/>
          <w:shd w:val="clear" w:color="auto" w:fill="FFFFFF"/>
        </w:rPr>
      </w:pPr>
      <w:r>
        <w:rPr>
          <w:rFonts w:hint="eastAsia" w:ascii="方正仿宋_GBK" w:hAnsi="方正仿宋_GBK" w:eastAsia="方正仿宋_GBK" w:cs="方正仿宋_GBK"/>
          <w:kern w:val="2"/>
          <w:sz w:val="32"/>
          <w:szCs w:val="32"/>
          <w:lang w:val="en-US" w:bidi="ar-SA"/>
        </w:rPr>
        <w:t>凡是注日期的文件，其随后所有的修改单（不包括勘误的内容）或修订版不适用于本细则。凡是不注日期的文件，其最新版本适用于本细则。</w:t>
      </w:r>
      <w:bookmarkStart w:id="0" w:name="_GoBack"/>
      <w:bookmarkEnd w:id="0"/>
    </w:p>
    <w:p w14:paraId="6F364FE7">
      <w:pPr>
        <w:autoSpaceDE/>
        <w:autoSpaceDN/>
        <w:spacing w:line="600" w:lineRule="exact"/>
        <w:ind w:firstLine="640" w:firstLineChars="200"/>
        <w:rPr>
          <w:rFonts w:ascii="方正黑体_GBK" w:hAnsi="方正仿宋_GBK" w:eastAsia="方正黑体_GBK" w:cs="方正仿宋_GBK"/>
          <w:sz w:val="32"/>
          <w:szCs w:val="32"/>
          <w:shd w:val="clear" w:color="auto" w:fill="FFFFFF"/>
        </w:rPr>
      </w:pPr>
      <w:r>
        <w:rPr>
          <w:rFonts w:hint="eastAsia" w:ascii="方正黑体_GBK" w:hAnsi="方正仿宋_GBK" w:eastAsia="方正黑体_GBK" w:cs="方正仿宋_GBK"/>
          <w:sz w:val="32"/>
          <w:szCs w:val="32"/>
          <w:shd w:val="clear" w:color="auto" w:fill="FFFFFF"/>
        </w:rPr>
        <w:t>4.判定规则</w:t>
      </w:r>
    </w:p>
    <w:p w14:paraId="308F2E82">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4.1</w:t>
      </w:r>
      <w:r>
        <w:rPr>
          <w:rFonts w:hint="eastAsia" w:ascii="方正仿宋_GBK" w:hAnsi="方正仿宋_GBK" w:eastAsia="方正仿宋_GBK" w:cs="方正仿宋_GBK"/>
          <w:sz w:val="32"/>
          <w:szCs w:val="32"/>
        </w:rPr>
        <w:t>依据标准</w:t>
      </w:r>
    </w:p>
    <w:p w14:paraId="6F19A7D9">
      <w:pPr>
        <w:autoSpaceDE/>
        <w:autoSpaceDN/>
        <w:spacing w:line="600" w:lineRule="exact"/>
        <w:ind w:firstLine="640" w:firstLineChars="200"/>
        <w:jc w:val="both"/>
        <w:rPr>
          <w:rFonts w:hint="eastAsia"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GB 4351.1-2005 手提式灭火器 第1部分：性能和结构要求</w:t>
      </w:r>
    </w:p>
    <w:p w14:paraId="3D046387">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GB 4351-2023手提式灭火器</w:t>
      </w:r>
    </w:p>
    <w:p w14:paraId="290CA8B0">
      <w:pPr>
        <w:snapToGrid w:val="0"/>
        <w:spacing w:line="600" w:lineRule="exact"/>
        <w:ind w:firstLine="640" w:firstLineChars="200"/>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color w:val="000000"/>
          <w:sz w:val="32"/>
          <w:szCs w:val="32"/>
        </w:rPr>
        <w:t>GB 4066-2017 干粉灭火剂</w:t>
      </w:r>
    </w:p>
    <w:p w14:paraId="5202DC6C">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现行有效的企业标准、团体标准、地方标准及产品明示质量要求</w:t>
      </w:r>
    </w:p>
    <w:p w14:paraId="27903831">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4.2</w:t>
      </w:r>
      <w:r>
        <w:rPr>
          <w:rFonts w:hint="eastAsia" w:ascii="方正仿宋_GBK" w:hAnsi="方正仿宋_GBK" w:eastAsia="方正仿宋_GBK" w:cs="方正仿宋_GBK"/>
          <w:sz w:val="32"/>
          <w:szCs w:val="32"/>
        </w:rPr>
        <w:t>判定原则</w:t>
      </w:r>
    </w:p>
    <w:p w14:paraId="3C7A7173">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sz w:val="32"/>
          <w:szCs w:val="32"/>
        </w:rPr>
        <w:t>经</w:t>
      </w:r>
      <w:r>
        <w:rPr>
          <w:rFonts w:hint="eastAsia" w:ascii="方正仿宋_GBK" w:hAnsi="方正仿宋_GBK" w:eastAsia="方正仿宋_GBK" w:cs="方正仿宋_GBK"/>
          <w:sz w:val="32"/>
          <w:szCs w:val="32"/>
          <w:lang w:val="en-US"/>
        </w:rPr>
        <w:t>抽样</w:t>
      </w:r>
      <w:r>
        <w:rPr>
          <w:rFonts w:hint="eastAsia" w:ascii="方正仿宋_GBK" w:hAnsi="方正仿宋_GBK" w:eastAsia="方正仿宋_GBK" w:cs="方正仿宋_GBK"/>
          <w:sz w:val="32"/>
          <w:szCs w:val="32"/>
        </w:rPr>
        <w:t>检验，检验项目全部合格，判定为</w:t>
      </w:r>
      <w:r>
        <w:rPr>
          <w:rFonts w:hint="eastAsia" w:ascii="方正仿宋_GBK" w:hAnsi="方正仿宋_GBK" w:eastAsia="方正仿宋_GBK" w:cs="方正仿宋_GBK"/>
          <w:sz w:val="32"/>
          <w:szCs w:val="32"/>
          <w:lang w:val="en-US"/>
        </w:rPr>
        <w:t>未发现不合格</w:t>
      </w:r>
      <w:r>
        <w:rPr>
          <w:rFonts w:hint="eastAsia" w:ascii="方正仿宋_GBK" w:hAnsi="方正仿宋_GBK" w:eastAsia="方正仿宋_GBK" w:cs="方正仿宋_GBK"/>
          <w:sz w:val="32"/>
          <w:szCs w:val="32"/>
        </w:rPr>
        <w:t>；检验项目中任一项或一项以上不合格，判定为不合格。</w:t>
      </w:r>
    </w:p>
    <w:p w14:paraId="6B5A67BE">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若被检产品明示的质量要求高于本细则中检验项目依据的标准要求时，应按被检产品明示的质量要求判定。</w:t>
      </w:r>
    </w:p>
    <w:p w14:paraId="67076B48">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若被检产品明示的质量要求低于本细则中检验项目依据的强制性标准要求时，应按照强制性标准要求判定。</w:t>
      </w:r>
    </w:p>
    <w:p w14:paraId="71038887">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若被检产品明示的质量要求低于或包含细则中检验项目依据的推荐性标准要求时，应以被检产品明示的质量要求判定，但应在检验报告备注中进行说明。</w:t>
      </w:r>
    </w:p>
    <w:p w14:paraId="560562B6">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若被检产品明示的质量要求缺少本细则中检验项目依据的强制性标准要求时，应按照强制性标准要求判定。</w:t>
      </w:r>
    </w:p>
    <w:p w14:paraId="54032288">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若被检产品明示的质量要求缺少本细则中检验项目依据的推荐性标准要求时，该项目不参与判定，但应在检验报告备注中进行说明。</w:t>
      </w:r>
    </w:p>
    <w:p w14:paraId="1DA0F3A4">
      <w:pPr>
        <w:autoSpaceDE/>
        <w:autoSpaceDN/>
        <w:spacing w:line="600" w:lineRule="exact"/>
        <w:ind w:firstLine="640" w:firstLineChars="200"/>
        <w:rPr>
          <w:rFonts w:ascii="方正黑体_GBK" w:hAnsi="方正仿宋_GBK" w:eastAsia="方正黑体_GBK" w:cs="方正仿宋_GBK"/>
          <w:sz w:val="32"/>
          <w:szCs w:val="32"/>
          <w:shd w:val="clear" w:color="auto" w:fill="FFFFFF"/>
        </w:rPr>
      </w:pPr>
      <w:r>
        <w:rPr>
          <w:rFonts w:hint="eastAsia" w:ascii="方正黑体_GBK" w:hAnsi="方正仿宋_GBK" w:eastAsia="方正黑体_GBK" w:cs="方正仿宋_GBK"/>
          <w:sz w:val="32"/>
          <w:szCs w:val="32"/>
          <w:shd w:val="clear" w:color="auto" w:fill="FFFFFF"/>
        </w:rPr>
        <w:t>5.异议处理</w:t>
      </w:r>
    </w:p>
    <w:p w14:paraId="0CFC240D">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5.1对监督抽查程序有异议的，由任务下达部门核查相关证据后维持或者撤销原检验结果。</w:t>
      </w:r>
    </w:p>
    <w:p w14:paraId="4D6FCB8D">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5B34AAD8">
      <w:pPr>
        <w:autoSpaceDE/>
        <w:autoSpaceDN/>
        <w:spacing w:line="600" w:lineRule="exact"/>
        <w:ind w:firstLine="640" w:firstLineChars="200"/>
        <w:jc w:val="both"/>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5.3对样品信息有异议的，任务下达部门核查样品确认情况和生产企业提交证明材料后，维持或者撤销原检验结果。</w:t>
      </w:r>
    </w:p>
    <w:p w14:paraId="22440339">
      <w:pPr>
        <w:pStyle w:val="5"/>
        <w:tabs>
          <w:tab w:val="left" w:pos="967"/>
          <w:tab w:val="left" w:pos="969"/>
        </w:tabs>
        <w:spacing w:line="600" w:lineRule="exact"/>
        <w:ind w:left="0" w:firstLine="640" w:firstLineChars="200"/>
        <w:rPr>
          <w:rFonts w:ascii="方正仿宋_GBK" w:hAnsi="方正仿宋_GBK" w:eastAsia="方正仿宋_GBK" w:cs="方正仿宋_GBK"/>
          <w:b w:val="0"/>
          <w:bCs w:val="0"/>
          <w:kern w:val="2"/>
          <w:sz w:val="32"/>
          <w:szCs w:val="32"/>
        </w:rPr>
      </w:pPr>
    </w:p>
    <w:sectPr>
      <w:footerReference r:id="rId3" w:type="default"/>
      <w:pgSz w:w="11910" w:h="16840"/>
      <w:pgMar w:top="1440" w:right="1080" w:bottom="1440" w:left="1080" w:header="0" w:footer="97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小标宋_GBK">
    <w:panose1 w:val="02000000000000000000"/>
    <w:charset w:val="86"/>
    <w:family w:val="auto"/>
    <w:pitch w:val="default"/>
    <w:sig w:usb0="A00002BF" w:usb1="38CF7CFA" w:usb2="00082016" w:usb3="00000000" w:csb0="00040001" w:csb1="00000000"/>
  </w:font>
  <w:font w:name="方正黑体_GBK">
    <w:altName w:val="汉仪中黑KW"/>
    <w:panose1 w:val="00000000000000000000"/>
    <w:charset w:val="00"/>
    <w:family w:val="auto"/>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9CD0D">
    <w:pPr>
      <w:pStyle w:val="6"/>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D57361B">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0D57361B">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5NmEzYzZjM2VlYjhkZGIyZjc2ZDcxYWM4NjEyNjgifQ=="/>
  </w:docVars>
  <w:rsids>
    <w:rsidRoot w:val="00D74BB0"/>
    <w:rsid w:val="0000650C"/>
    <w:rsid w:val="0003266E"/>
    <w:rsid w:val="00042E52"/>
    <w:rsid w:val="00075D2C"/>
    <w:rsid w:val="000831B2"/>
    <w:rsid w:val="00087661"/>
    <w:rsid w:val="000E438C"/>
    <w:rsid w:val="000F1035"/>
    <w:rsid w:val="00114B79"/>
    <w:rsid w:val="00164799"/>
    <w:rsid w:val="00164C00"/>
    <w:rsid w:val="001760BA"/>
    <w:rsid w:val="001C333A"/>
    <w:rsid w:val="001C67A8"/>
    <w:rsid w:val="002851E4"/>
    <w:rsid w:val="002B6731"/>
    <w:rsid w:val="002D7400"/>
    <w:rsid w:val="003031BA"/>
    <w:rsid w:val="003175BB"/>
    <w:rsid w:val="00363384"/>
    <w:rsid w:val="0036591F"/>
    <w:rsid w:val="00395BCD"/>
    <w:rsid w:val="003C321B"/>
    <w:rsid w:val="003D4C42"/>
    <w:rsid w:val="004058B1"/>
    <w:rsid w:val="00432A23"/>
    <w:rsid w:val="00435ACF"/>
    <w:rsid w:val="004626D2"/>
    <w:rsid w:val="00477D1A"/>
    <w:rsid w:val="0048122B"/>
    <w:rsid w:val="00491441"/>
    <w:rsid w:val="00493196"/>
    <w:rsid w:val="004B1147"/>
    <w:rsid w:val="004B1CE9"/>
    <w:rsid w:val="00533F57"/>
    <w:rsid w:val="00537E82"/>
    <w:rsid w:val="00557205"/>
    <w:rsid w:val="005833D3"/>
    <w:rsid w:val="00611AA6"/>
    <w:rsid w:val="00611E80"/>
    <w:rsid w:val="00614648"/>
    <w:rsid w:val="00621C5C"/>
    <w:rsid w:val="00665DE6"/>
    <w:rsid w:val="00684D22"/>
    <w:rsid w:val="006B3A82"/>
    <w:rsid w:val="007312EA"/>
    <w:rsid w:val="0074736E"/>
    <w:rsid w:val="007522DE"/>
    <w:rsid w:val="007637F5"/>
    <w:rsid w:val="00767619"/>
    <w:rsid w:val="00775579"/>
    <w:rsid w:val="008225CF"/>
    <w:rsid w:val="008A359A"/>
    <w:rsid w:val="008F390B"/>
    <w:rsid w:val="009034C0"/>
    <w:rsid w:val="00903E92"/>
    <w:rsid w:val="00912CC4"/>
    <w:rsid w:val="00923C62"/>
    <w:rsid w:val="009249DD"/>
    <w:rsid w:val="009555B3"/>
    <w:rsid w:val="0098052D"/>
    <w:rsid w:val="00A30987"/>
    <w:rsid w:val="00A60356"/>
    <w:rsid w:val="00A61ABB"/>
    <w:rsid w:val="00AA3B6D"/>
    <w:rsid w:val="00AC0C0B"/>
    <w:rsid w:val="00AC3FED"/>
    <w:rsid w:val="00AE2A65"/>
    <w:rsid w:val="00AF6DC8"/>
    <w:rsid w:val="00B07BCE"/>
    <w:rsid w:val="00B52AAF"/>
    <w:rsid w:val="00B913AD"/>
    <w:rsid w:val="00B95581"/>
    <w:rsid w:val="00BC446E"/>
    <w:rsid w:val="00BD18CC"/>
    <w:rsid w:val="00C16AD7"/>
    <w:rsid w:val="00C201F5"/>
    <w:rsid w:val="00C53ED0"/>
    <w:rsid w:val="00C9766F"/>
    <w:rsid w:val="00CC1D12"/>
    <w:rsid w:val="00CF7936"/>
    <w:rsid w:val="00D74BB0"/>
    <w:rsid w:val="00DD4AF9"/>
    <w:rsid w:val="00DE70E1"/>
    <w:rsid w:val="00E02AF4"/>
    <w:rsid w:val="00E17597"/>
    <w:rsid w:val="00E90284"/>
    <w:rsid w:val="00ED4951"/>
    <w:rsid w:val="00F51DE5"/>
    <w:rsid w:val="00F5409D"/>
    <w:rsid w:val="00F67193"/>
    <w:rsid w:val="00FB0EB0"/>
    <w:rsid w:val="00FC734D"/>
    <w:rsid w:val="00FD14E7"/>
    <w:rsid w:val="0B007BD2"/>
    <w:rsid w:val="1137070D"/>
    <w:rsid w:val="117D5540"/>
    <w:rsid w:val="14BD0584"/>
    <w:rsid w:val="1AD867BE"/>
    <w:rsid w:val="1F9C6A9E"/>
    <w:rsid w:val="37F95C4C"/>
    <w:rsid w:val="39FA77C8"/>
    <w:rsid w:val="3FFFCC56"/>
    <w:rsid w:val="4C753AE6"/>
    <w:rsid w:val="4F174970"/>
    <w:rsid w:val="50A43D89"/>
    <w:rsid w:val="556FB086"/>
    <w:rsid w:val="5E631DAD"/>
    <w:rsid w:val="68EE2392"/>
    <w:rsid w:val="6A7FF112"/>
    <w:rsid w:val="6DEF9193"/>
    <w:rsid w:val="6F4FDBF0"/>
    <w:rsid w:val="77FD88E1"/>
    <w:rsid w:val="79FF5450"/>
    <w:rsid w:val="BDEE00AA"/>
    <w:rsid w:val="D4FA6AFC"/>
    <w:rsid w:val="D7FD73D0"/>
    <w:rsid w:val="D9EE4008"/>
    <w:rsid w:val="DF8D3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ind w:left="2121" w:right="2138"/>
      <w:jc w:val="center"/>
      <w:outlineLvl w:val="0"/>
    </w:pPr>
    <w:rPr>
      <w:b/>
      <w:bCs/>
      <w:sz w:val="32"/>
      <w:szCs w:val="32"/>
    </w:rPr>
  </w:style>
  <w:style w:type="paragraph" w:styleId="3">
    <w:name w:val="heading 2"/>
    <w:basedOn w:val="1"/>
    <w:next w:val="1"/>
    <w:qFormat/>
    <w:uiPriority w:val="1"/>
    <w:pPr>
      <w:ind w:left="789"/>
      <w:outlineLvl w:val="1"/>
    </w:pPr>
    <w:rPr>
      <w:b/>
      <w:bCs/>
      <w:sz w:val="28"/>
      <w:szCs w:val="28"/>
    </w:rPr>
  </w:style>
  <w:style w:type="paragraph" w:styleId="4">
    <w:name w:val="heading 3"/>
    <w:basedOn w:val="1"/>
    <w:next w:val="1"/>
    <w:qFormat/>
    <w:uiPriority w:val="1"/>
    <w:pPr>
      <w:spacing w:before="186"/>
      <w:ind w:left="227"/>
      <w:outlineLvl w:val="2"/>
    </w:pPr>
    <w:rPr>
      <w:sz w:val="28"/>
      <w:szCs w:val="28"/>
    </w:rPr>
  </w:style>
  <w:style w:type="paragraph" w:styleId="5">
    <w:name w:val="heading 4"/>
    <w:basedOn w:val="1"/>
    <w:next w:val="1"/>
    <w:qFormat/>
    <w:uiPriority w:val="1"/>
    <w:pPr>
      <w:ind w:left="862"/>
      <w:outlineLvl w:val="3"/>
    </w:pPr>
    <w:rPr>
      <w:b/>
      <w:bCs/>
      <w:sz w:val="21"/>
      <w:szCs w:val="21"/>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9"/>
    <w:qFormat/>
    <w:uiPriority w:val="1"/>
    <w:rPr>
      <w:sz w:val="21"/>
      <w:szCs w:val="21"/>
    </w:rPr>
  </w:style>
  <w:style w:type="paragraph" w:styleId="7">
    <w:name w:val="Balloon Text"/>
    <w:basedOn w:val="1"/>
    <w:link w:val="16"/>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
    <w:name w:val="Table Normal"/>
    <w:unhideWhenUsed/>
    <w:qFormat/>
    <w:uiPriority w:val="2"/>
    <w:tblPr>
      <w:tblCellMar>
        <w:top w:w="0" w:type="dxa"/>
        <w:left w:w="0" w:type="dxa"/>
        <w:bottom w:w="0" w:type="dxa"/>
        <w:right w:w="0" w:type="dxa"/>
      </w:tblCellMar>
    </w:tblPr>
  </w:style>
  <w:style w:type="paragraph" w:customStyle="1" w:styleId="14">
    <w:name w:val="列出段落1"/>
    <w:basedOn w:val="1"/>
    <w:qFormat/>
    <w:uiPriority w:val="1"/>
    <w:pPr>
      <w:ind w:left="227" w:firstLine="420"/>
    </w:pPr>
  </w:style>
  <w:style w:type="paragraph" w:customStyle="1" w:styleId="15">
    <w:name w:val="Table Paragraph"/>
    <w:basedOn w:val="1"/>
    <w:qFormat/>
    <w:uiPriority w:val="1"/>
  </w:style>
  <w:style w:type="character" w:customStyle="1" w:styleId="16">
    <w:name w:val="批注框文本 Char"/>
    <w:basedOn w:val="12"/>
    <w:link w:val="7"/>
    <w:semiHidden/>
    <w:qFormat/>
    <w:uiPriority w:val="99"/>
    <w:rPr>
      <w:rFonts w:ascii="宋体" w:hAnsi="宋体" w:eastAsia="宋体" w:cs="宋体"/>
      <w:sz w:val="18"/>
      <w:szCs w:val="18"/>
      <w:lang w:val="zh-CN" w:eastAsia="zh-CN" w:bidi="zh-CN"/>
    </w:rPr>
  </w:style>
  <w:style w:type="character" w:customStyle="1" w:styleId="17">
    <w:name w:val="页眉 Char"/>
    <w:basedOn w:val="12"/>
    <w:link w:val="9"/>
    <w:qFormat/>
    <w:uiPriority w:val="99"/>
    <w:rPr>
      <w:rFonts w:ascii="宋体" w:hAnsi="宋体" w:eastAsia="宋体" w:cs="宋体"/>
      <w:sz w:val="18"/>
      <w:szCs w:val="18"/>
      <w:lang w:val="zh-CN" w:eastAsia="zh-CN" w:bidi="zh-CN"/>
    </w:rPr>
  </w:style>
  <w:style w:type="character" w:customStyle="1" w:styleId="18">
    <w:name w:val="页脚 Char"/>
    <w:basedOn w:val="12"/>
    <w:link w:val="8"/>
    <w:qFormat/>
    <w:uiPriority w:val="99"/>
    <w:rPr>
      <w:rFonts w:ascii="宋体" w:hAnsi="宋体" w:eastAsia="宋体" w:cs="宋体"/>
      <w:sz w:val="18"/>
      <w:szCs w:val="18"/>
      <w:lang w:val="zh-CN" w:eastAsia="zh-CN" w:bidi="zh-CN"/>
    </w:rPr>
  </w:style>
  <w:style w:type="character" w:customStyle="1" w:styleId="19">
    <w:name w:val="正文文本 Char"/>
    <w:basedOn w:val="12"/>
    <w:link w:val="6"/>
    <w:qFormat/>
    <w:uiPriority w:val="1"/>
    <w:rPr>
      <w:rFonts w:ascii="宋体" w:hAnsi="宋体" w:eastAsia="宋体" w:cs="宋体"/>
      <w:sz w:val="21"/>
      <w:szCs w:val="21"/>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合肥产品质量监督检验研究院</Company>
  <Pages>4</Pages>
  <Words>217</Words>
  <Characters>1243</Characters>
  <Lines>10</Lines>
  <Paragraphs>2</Paragraphs>
  <TotalTime>14</TotalTime>
  <ScaleCrop>false</ScaleCrop>
  <LinksUpToDate>false</LinksUpToDate>
  <CharactersWithSpaces>1458</CharactersWithSpaces>
  <Application>WPS Office_6.15.1.8935_F1E327BC-269C-435d-A152-05C5408002CA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2020-08-01T22:43:00Z</dcterms:created>
  <dc:creator>合肥质检院，程浩</dc:creator>
  <cp:lastModifiedBy>Abt a song</cp:lastModifiedBy>
  <dcterms:modified xsi:type="dcterms:W3CDTF">2025-02-08T13:33:10Z</dcterms:modified>
  <dc:title>安全帽产品质量监督抽查实施细则</dc:title>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PScript5.dll Version 5.2</vt:lpwstr>
  </property>
  <property fmtid="{D5CDD505-2E9C-101B-9397-08002B2CF9AE}" pid="4" name="LastSaved">
    <vt:filetime>2019-01-21T00:00:00Z</vt:filetime>
  </property>
  <property fmtid="{D5CDD505-2E9C-101B-9397-08002B2CF9AE}" pid="5" name="KSOProductBuildVer">
    <vt:lpwstr>2052-6.15.1.8935</vt:lpwstr>
  </property>
  <property fmtid="{D5CDD505-2E9C-101B-9397-08002B2CF9AE}" pid="6" name="ICV">
    <vt:lpwstr>3C605DC44B8162BB96ECA6671E687189_43</vt:lpwstr>
  </property>
</Properties>
</file>