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napToGrid w:val="0"/>
        <w:spacing w:line="360" w:lineRule="auto"/>
        <w:jc w:val="left"/>
        <w:rPr>
          <w:rFonts w:hAnsi="宋体"/>
          <w:sz w:val="44"/>
          <w:szCs w:val="44"/>
        </w:rPr>
      </w:pPr>
    </w:p>
    <w:p>
      <w:pPr>
        <w:pStyle w:val="20"/>
        <w:ind w:firstLine="420"/>
      </w:pPr>
    </w:p>
    <w:p>
      <w:pPr>
        <w:tabs>
          <w:tab w:val="left" w:pos="5760"/>
          <w:tab w:val="left" w:pos="6300"/>
        </w:tabs>
        <w:snapToGrid w:val="0"/>
        <w:spacing w:line="360" w:lineRule="auto"/>
        <w:jc w:val="left"/>
        <w:rPr>
          <w:rFonts w:hAnsi="宋体"/>
          <w:sz w:val="44"/>
          <w:szCs w:val="44"/>
        </w:rPr>
      </w:pPr>
    </w:p>
    <w:p>
      <w:pPr>
        <w:tabs>
          <w:tab w:val="left" w:pos="5760"/>
          <w:tab w:val="left" w:pos="6300"/>
        </w:tabs>
        <w:snapToGrid w:val="0"/>
        <w:spacing w:line="360" w:lineRule="auto"/>
        <w:jc w:val="left"/>
        <w:rPr>
          <w:rFonts w:hAnsi="宋体"/>
          <w:sz w:val="44"/>
          <w:szCs w:val="44"/>
        </w:rPr>
      </w:pPr>
      <w:r>
        <w:rPr>
          <w:rFonts w:hAnsi="宋体"/>
          <w:sz w:val="44"/>
          <w:szCs w:val="44"/>
        </w:rPr>
        <w:tab/>
      </w:r>
    </w:p>
    <w:p>
      <w:pPr>
        <w:tabs>
          <w:tab w:val="left" w:pos="6300"/>
        </w:tabs>
        <w:snapToGrid w:val="0"/>
        <w:spacing w:line="360" w:lineRule="auto"/>
        <w:jc w:val="center"/>
        <w:rPr>
          <w:rFonts w:ascii="宋体" w:hAnsi="宋体" w:cs="宋体"/>
          <w:sz w:val="44"/>
          <w:szCs w:val="44"/>
        </w:rPr>
      </w:pPr>
      <w:r>
        <w:rPr>
          <w:rFonts w:hint="eastAsia" w:ascii="宋体" w:hAnsi="宋体" w:cs="宋体"/>
          <w:sz w:val="44"/>
          <w:szCs w:val="44"/>
        </w:rPr>
        <w:t>南通市计量检定测试所</w:t>
      </w:r>
    </w:p>
    <w:p>
      <w:pPr>
        <w:tabs>
          <w:tab w:val="left" w:pos="6300"/>
        </w:tabs>
        <w:snapToGrid w:val="0"/>
        <w:spacing w:line="360" w:lineRule="auto"/>
        <w:jc w:val="center"/>
        <w:rPr>
          <w:rFonts w:hint="eastAsia" w:ascii="宋体" w:hAnsi="宋体" w:cs="宋体"/>
          <w:color w:val="auto"/>
          <w:kern w:val="2"/>
          <w:sz w:val="44"/>
          <w:szCs w:val="44"/>
        </w:rPr>
      </w:pPr>
      <w:r>
        <w:rPr>
          <w:rFonts w:hint="eastAsia" w:ascii="宋体" w:hAnsi="宋体" w:cs="宋体"/>
          <w:color w:val="auto"/>
          <w:kern w:val="2"/>
          <w:sz w:val="44"/>
          <w:szCs w:val="44"/>
        </w:rPr>
        <w:t>医用大型灭菌器灭菌效果物理参数检测系统</w:t>
      </w:r>
    </w:p>
    <w:p>
      <w:pPr>
        <w:tabs>
          <w:tab w:val="left" w:pos="6300"/>
        </w:tabs>
        <w:snapToGrid w:val="0"/>
        <w:spacing w:line="360" w:lineRule="auto"/>
        <w:jc w:val="center"/>
        <w:rPr>
          <w:rFonts w:hint="default" w:ascii="宋体" w:hAnsi="宋体" w:eastAsia="宋体" w:cs="宋体"/>
          <w:sz w:val="44"/>
          <w:szCs w:val="44"/>
          <w:lang w:val="en-US" w:eastAsia="zh-CN"/>
        </w:rPr>
      </w:pPr>
      <w:r>
        <w:rPr>
          <w:rFonts w:hint="eastAsia" w:ascii="宋体" w:hAnsi="宋体" w:cs="宋体"/>
          <w:color w:val="auto"/>
          <w:kern w:val="2"/>
          <w:sz w:val="44"/>
          <w:szCs w:val="44"/>
          <w:lang w:val="en-US" w:eastAsia="zh-CN"/>
        </w:rPr>
        <w:t>采购项目</w:t>
      </w:r>
    </w:p>
    <w:p>
      <w:pPr>
        <w:tabs>
          <w:tab w:val="left" w:pos="6300"/>
        </w:tabs>
        <w:snapToGrid w:val="0"/>
        <w:spacing w:line="360" w:lineRule="auto"/>
        <w:jc w:val="center"/>
        <w:rPr>
          <w:rFonts w:hAnsi="宋体"/>
          <w:w w:val="80"/>
          <w:sz w:val="84"/>
        </w:rPr>
      </w:pPr>
    </w:p>
    <w:p>
      <w:pPr>
        <w:spacing w:line="360" w:lineRule="auto"/>
        <w:jc w:val="center"/>
        <w:rPr>
          <w:rFonts w:hAnsi="宋体"/>
          <w:b/>
          <w:sz w:val="72"/>
          <w:szCs w:val="72"/>
        </w:rPr>
      </w:pPr>
      <w:r>
        <w:rPr>
          <w:rFonts w:hAnsi="宋体"/>
          <w:b/>
          <w:sz w:val="72"/>
          <w:szCs w:val="72"/>
        </w:rPr>
        <w:t>竞争性磋商文件</w:t>
      </w:r>
    </w:p>
    <w:p>
      <w:pPr>
        <w:spacing w:line="360" w:lineRule="auto"/>
        <w:jc w:val="center"/>
        <w:rPr>
          <w:rFonts w:hAnsi="宋体"/>
          <w:b/>
          <w:sz w:val="44"/>
          <w:szCs w:val="44"/>
        </w:rPr>
      </w:pPr>
      <w:r>
        <w:rPr>
          <w:rFonts w:hint="eastAsia" w:hAnsi="宋体"/>
          <w:b/>
          <w:sz w:val="44"/>
          <w:szCs w:val="44"/>
        </w:rPr>
        <w:t>（资格后审）</w:t>
      </w:r>
    </w:p>
    <w:p>
      <w:pPr>
        <w:snapToGrid w:val="0"/>
        <w:spacing w:line="360" w:lineRule="auto"/>
        <w:jc w:val="center"/>
        <w:rPr>
          <w:rFonts w:hAnsi="宋体"/>
          <w:b/>
          <w:sz w:val="36"/>
        </w:rPr>
      </w:pPr>
    </w:p>
    <w:p>
      <w:pPr>
        <w:snapToGrid w:val="0"/>
        <w:spacing w:line="360" w:lineRule="auto"/>
        <w:jc w:val="center"/>
        <w:rPr>
          <w:rFonts w:hAnsi="宋体"/>
          <w:b/>
          <w:sz w:val="36"/>
        </w:rPr>
      </w:pPr>
    </w:p>
    <w:p>
      <w:pPr>
        <w:snapToGrid w:val="0"/>
        <w:spacing w:line="360" w:lineRule="auto"/>
        <w:rPr>
          <w:rFonts w:hAnsi="宋体"/>
          <w:b/>
          <w:sz w:val="36"/>
        </w:rPr>
      </w:pPr>
    </w:p>
    <w:p>
      <w:pPr>
        <w:snapToGrid w:val="0"/>
        <w:spacing w:line="360" w:lineRule="auto"/>
        <w:jc w:val="center"/>
        <w:rPr>
          <w:rFonts w:hAnsi="宋体"/>
          <w:b/>
          <w:sz w:val="36"/>
        </w:rPr>
      </w:pPr>
    </w:p>
    <w:p>
      <w:pPr>
        <w:pStyle w:val="20"/>
        <w:spacing w:line="360" w:lineRule="auto"/>
        <w:ind w:firstLine="723"/>
        <w:rPr>
          <w:rFonts w:hAnsi="宋体"/>
          <w:b/>
          <w:sz w:val="36"/>
        </w:rPr>
      </w:pPr>
    </w:p>
    <w:p>
      <w:pPr>
        <w:snapToGrid w:val="0"/>
        <w:spacing w:line="360" w:lineRule="auto"/>
        <w:jc w:val="center"/>
        <w:rPr>
          <w:rFonts w:hAnsi="宋体"/>
          <w:b/>
          <w:sz w:val="36"/>
        </w:rPr>
      </w:pPr>
    </w:p>
    <w:p>
      <w:pPr>
        <w:adjustRightInd w:val="0"/>
        <w:snapToGrid w:val="0"/>
        <w:spacing w:line="360" w:lineRule="auto"/>
        <w:ind w:firstLine="1500" w:firstLineChars="500"/>
        <w:rPr>
          <w:rFonts w:hAnsi="宋体" w:cs="宋体"/>
          <w:b/>
          <w:sz w:val="30"/>
          <w:szCs w:val="30"/>
        </w:rPr>
      </w:pPr>
      <w:r>
        <w:rPr>
          <w:rFonts w:hint="eastAsia" w:hAnsi="宋体" w:cs="宋体"/>
          <w:b/>
          <w:sz w:val="30"/>
          <w:szCs w:val="30"/>
        </w:rPr>
        <w:t>采购单位：南通市计量检定测试所</w:t>
      </w:r>
    </w:p>
    <w:p>
      <w:pPr>
        <w:adjustRightInd w:val="0"/>
        <w:snapToGrid w:val="0"/>
        <w:spacing w:line="360" w:lineRule="auto"/>
        <w:ind w:firstLine="1500" w:firstLineChars="500"/>
        <w:rPr>
          <w:rFonts w:hAnsi="宋体" w:cs="宋体"/>
          <w:b/>
          <w:sz w:val="30"/>
          <w:szCs w:val="30"/>
        </w:rPr>
      </w:pPr>
      <w:r>
        <w:rPr>
          <w:rFonts w:hint="eastAsia" w:hAnsi="宋体" w:cs="宋体"/>
          <w:b/>
          <w:sz w:val="30"/>
          <w:szCs w:val="30"/>
        </w:rPr>
        <w:t>代理机构：上海申邑工程咨询有限公司</w:t>
      </w:r>
    </w:p>
    <w:p>
      <w:pPr>
        <w:adjustRightInd w:val="0"/>
        <w:snapToGrid w:val="0"/>
        <w:spacing w:line="360" w:lineRule="auto"/>
        <w:ind w:firstLine="1500" w:firstLineChars="500"/>
        <w:rPr>
          <w:rFonts w:hAnsi="宋体" w:cs="宋体"/>
          <w:b/>
          <w:sz w:val="30"/>
          <w:szCs w:val="30"/>
        </w:rPr>
      </w:pPr>
      <w:r>
        <w:rPr>
          <w:rFonts w:hint="eastAsia" w:hAnsi="宋体" w:cs="宋体"/>
          <w:b/>
          <w:sz w:val="30"/>
          <w:szCs w:val="30"/>
        </w:rPr>
        <w:t>日    期：二〇二二年</w:t>
      </w:r>
      <w:r>
        <w:rPr>
          <w:rFonts w:hint="eastAsia" w:hAnsi="宋体" w:cs="宋体"/>
          <w:b/>
          <w:sz w:val="30"/>
          <w:szCs w:val="30"/>
          <w:lang w:val="en-US" w:eastAsia="zh-CN"/>
        </w:rPr>
        <w:t>六</w:t>
      </w:r>
      <w:r>
        <w:rPr>
          <w:rFonts w:hint="eastAsia" w:hAnsi="宋体" w:cs="宋体"/>
          <w:b/>
          <w:sz w:val="30"/>
          <w:szCs w:val="30"/>
        </w:rPr>
        <w:t>月</w:t>
      </w:r>
    </w:p>
    <w:p>
      <w:pPr>
        <w:adjustRightInd w:val="0"/>
        <w:snapToGrid w:val="0"/>
        <w:spacing w:line="360" w:lineRule="auto"/>
        <w:ind w:firstLine="1500" w:firstLineChars="500"/>
        <w:jc w:val="center"/>
        <w:rPr>
          <w:rFonts w:hAnsi="宋体"/>
          <w:b/>
          <w:sz w:val="44"/>
          <w:szCs w:val="44"/>
        </w:rPr>
      </w:pPr>
      <w:r>
        <w:rPr>
          <w:rFonts w:hint="eastAsia" w:hAnsi="宋体" w:cs="宋体"/>
          <w:b/>
          <w:sz w:val="30"/>
          <w:szCs w:val="30"/>
        </w:rPr>
        <w:br w:type="page"/>
      </w:r>
      <w:r>
        <w:rPr>
          <w:rFonts w:hint="eastAsia" w:hAnsi="宋体"/>
          <w:b/>
          <w:sz w:val="44"/>
          <w:szCs w:val="44"/>
        </w:rPr>
        <w:t>目  录</w:t>
      </w:r>
    </w:p>
    <w:p>
      <w:pPr>
        <w:pStyle w:val="7"/>
        <w:overflowPunct w:val="0"/>
        <w:spacing w:line="360" w:lineRule="auto"/>
        <w:ind w:firstLine="0"/>
        <w:jc w:val="center"/>
        <w:rPr>
          <w:rFonts w:hAnsi="宋体" w:eastAsia="宋体"/>
          <w:sz w:val="30"/>
        </w:rPr>
      </w:pPr>
    </w:p>
    <w:p>
      <w:pPr>
        <w:pStyle w:val="17"/>
        <w:tabs>
          <w:tab w:val="right" w:leader="dot" w:pos="9528"/>
        </w:tabs>
        <w:spacing w:line="360" w:lineRule="auto"/>
        <w:ind w:firstLine="360" w:firstLineChars="100"/>
        <w:rPr>
          <w:rFonts w:hAnsi="宋体" w:eastAsia="宋体"/>
          <w:sz w:val="32"/>
          <w:szCs w:val="32"/>
        </w:rPr>
      </w:pPr>
      <w:r>
        <w:rPr>
          <w:rFonts w:hAnsi="宋体" w:eastAsia="宋体"/>
          <w:b/>
          <w:bCs/>
          <w:sz w:val="36"/>
          <w:szCs w:val="36"/>
        </w:rPr>
        <w:fldChar w:fldCharType="begin"/>
      </w:r>
      <w:r>
        <w:rPr>
          <w:rFonts w:hAnsi="宋体" w:eastAsia="宋体"/>
          <w:b/>
          <w:bCs/>
          <w:sz w:val="36"/>
          <w:szCs w:val="36"/>
        </w:rPr>
        <w:instrText xml:space="preserve"> TOC \o "1-1"</w:instrText>
      </w:r>
      <w:r>
        <w:rPr>
          <w:rFonts w:hAnsi="宋体" w:eastAsia="宋体"/>
          <w:b/>
          <w:bCs/>
          <w:sz w:val="36"/>
          <w:szCs w:val="36"/>
        </w:rPr>
        <w:fldChar w:fldCharType="separate"/>
      </w:r>
      <w:r>
        <w:rPr>
          <w:rFonts w:hAnsi="宋体" w:eastAsia="宋体"/>
          <w:sz w:val="32"/>
          <w:szCs w:val="32"/>
        </w:rPr>
        <w:t xml:space="preserve">第一章 </w:t>
      </w:r>
      <w:r>
        <w:rPr>
          <w:rFonts w:hint="eastAsia" w:hAnsi="宋体" w:eastAsia="宋体"/>
          <w:sz w:val="32"/>
          <w:szCs w:val="32"/>
        </w:rPr>
        <w:t>竞争性磋商公告</w:t>
      </w:r>
    </w:p>
    <w:p>
      <w:pPr>
        <w:pStyle w:val="17"/>
        <w:tabs>
          <w:tab w:val="right" w:leader="dot" w:pos="9528"/>
        </w:tabs>
        <w:spacing w:line="360" w:lineRule="auto"/>
        <w:ind w:firstLine="320" w:firstLineChars="100"/>
        <w:rPr>
          <w:rFonts w:hAnsi="宋体" w:eastAsia="宋体"/>
          <w:sz w:val="32"/>
          <w:szCs w:val="32"/>
        </w:rPr>
      </w:pPr>
      <w:r>
        <w:rPr>
          <w:rFonts w:hAnsi="宋体" w:eastAsia="宋体"/>
          <w:sz w:val="32"/>
          <w:szCs w:val="32"/>
        </w:rPr>
        <w:t>第二章 磋商</w:t>
      </w:r>
      <w:r>
        <w:rPr>
          <w:rFonts w:hint="eastAsia" w:hAnsi="宋体" w:eastAsia="宋体"/>
          <w:sz w:val="32"/>
          <w:szCs w:val="32"/>
        </w:rPr>
        <w:t>供应商</w:t>
      </w:r>
      <w:r>
        <w:rPr>
          <w:rFonts w:hAnsi="宋体" w:eastAsia="宋体"/>
          <w:sz w:val="32"/>
          <w:szCs w:val="32"/>
        </w:rPr>
        <w:t>须知</w:t>
      </w:r>
    </w:p>
    <w:p>
      <w:pPr>
        <w:pStyle w:val="17"/>
        <w:tabs>
          <w:tab w:val="right" w:leader="dot" w:pos="9528"/>
        </w:tabs>
        <w:spacing w:line="360" w:lineRule="auto"/>
        <w:ind w:firstLine="320" w:firstLineChars="100"/>
        <w:rPr>
          <w:rFonts w:hAnsi="宋体" w:eastAsia="宋体"/>
          <w:sz w:val="32"/>
          <w:szCs w:val="32"/>
        </w:rPr>
      </w:pPr>
      <w:r>
        <w:rPr>
          <w:rFonts w:hAnsi="宋体" w:eastAsia="宋体"/>
          <w:sz w:val="32"/>
          <w:szCs w:val="32"/>
        </w:rPr>
        <w:t>第三章 项目需求</w:t>
      </w:r>
    </w:p>
    <w:p>
      <w:pPr>
        <w:pStyle w:val="17"/>
        <w:tabs>
          <w:tab w:val="right" w:leader="dot" w:pos="9528"/>
        </w:tabs>
        <w:spacing w:line="360" w:lineRule="auto"/>
        <w:ind w:firstLine="320" w:firstLineChars="100"/>
        <w:rPr>
          <w:rFonts w:hAnsi="宋体" w:eastAsia="宋体"/>
          <w:sz w:val="32"/>
          <w:szCs w:val="32"/>
        </w:rPr>
      </w:pPr>
      <w:r>
        <w:rPr>
          <w:rFonts w:hAnsi="宋体" w:eastAsia="宋体"/>
          <w:sz w:val="32"/>
          <w:szCs w:val="32"/>
        </w:rPr>
        <w:t>第</w:t>
      </w:r>
      <w:r>
        <w:rPr>
          <w:rFonts w:hint="eastAsia" w:hAnsi="宋体" w:eastAsia="宋体"/>
          <w:sz w:val="32"/>
          <w:szCs w:val="32"/>
        </w:rPr>
        <w:t>四</w:t>
      </w:r>
      <w:r>
        <w:rPr>
          <w:rFonts w:hAnsi="宋体" w:eastAsia="宋体"/>
          <w:sz w:val="32"/>
          <w:szCs w:val="32"/>
        </w:rPr>
        <w:t xml:space="preserve">章 </w:t>
      </w:r>
      <w:r>
        <w:rPr>
          <w:rFonts w:hint="eastAsia" w:hAnsi="宋体" w:eastAsia="宋体"/>
          <w:sz w:val="32"/>
          <w:szCs w:val="32"/>
        </w:rPr>
        <w:t>评审方法和程序</w:t>
      </w:r>
    </w:p>
    <w:p>
      <w:pPr>
        <w:pStyle w:val="17"/>
        <w:tabs>
          <w:tab w:val="right" w:leader="dot" w:pos="9528"/>
        </w:tabs>
        <w:spacing w:line="360" w:lineRule="auto"/>
        <w:ind w:firstLine="320" w:firstLineChars="100"/>
        <w:rPr>
          <w:rFonts w:hAnsi="宋体" w:eastAsia="宋体"/>
          <w:sz w:val="32"/>
          <w:szCs w:val="32"/>
        </w:rPr>
      </w:pPr>
      <w:r>
        <w:rPr>
          <w:rFonts w:hAnsi="宋体" w:eastAsia="宋体"/>
          <w:sz w:val="32"/>
          <w:szCs w:val="32"/>
        </w:rPr>
        <w:t>第</w:t>
      </w:r>
      <w:r>
        <w:rPr>
          <w:rFonts w:hint="eastAsia" w:hAnsi="宋体" w:eastAsia="宋体"/>
          <w:sz w:val="32"/>
          <w:szCs w:val="32"/>
        </w:rPr>
        <w:t>五</w:t>
      </w:r>
      <w:r>
        <w:rPr>
          <w:rFonts w:hAnsi="宋体" w:eastAsia="宋体"/>
          <w:sz w:val="32"/>
          <w:szCs w:val="32"/>
        </w:rPr>
        <w:t xml:space="preserve">章 </w:t>
      </w:r>
      <w:r>
        <w:rPr>
          <w:rFonts w:hint="eastAsia" w:hAnsi="宋体" w:eastAsia="宋体"/>
          <w:sz w:val="32"/>
          <w:szCs w:val="32"/>
        </w:rPr>
        <w:t>合同授予</w:t>
      </w:r>
    </w:p>
    <w:p>
      <w:pPr>
        <w:spacing w:line="360" w:lineRule="auto"/>
        <w:ind w:firstLine="320" w:firstLineChars="100"/>
        <w:rPr>
          <w:rFonts w:hAnsi="宋体"/>
          <w:sz w:val="32"/>
          <w:szCs w:val="32"/>
        </w:rPr>
      </w:pPr>
      <w:r>
        <w:rPr>
          <w:rFonts w:hAnsi="宋体"/>
          <w:sz w:val="32"/>
          <w:szCs w:val="32"/>
        </w:rPr>
        <w:t>第</w:t>
      </w:r>
      <w:r>
        <w:rPr>
          <w:rFonts w:hint="eastAsia" w:hAnsi="宋体"/>
          <w:sz w:val="32"/>
          <w:szCs w:val="32"/>
        </w:rPr>
        <w:t>六</w:t>
      </w:r>
      <w:r>
        <w:rPr>
          <w:rFonts w:hAnsi="宋体"/>
          <w:sz w:val="32"/>
          <w:szCs w:val="32"/>
        </w:rPr>
        <w:t>章</w:t>
      </w:r>
      <w:r>
        <w:rPr>
          <w:rFonts w:hint="eastAsia" w:hAnsi="宋体"/>
          <w:sz w:val="32"/>
          <w:szCs w:val="32"/>
        </w:rPr>
        <w:t xml:space="preserve"> 质疑提出和处理</w:t>
      </w:r>
    </w:p>
    <w:p>
      <w:pPr>
        <w:spacing w:line="360" w:lineRule="auto"/>
        <w:ind w:firstLine="320" w:firstLineChars="100"/>
        <w:rPr>
          <w:rFonts w:hAnsi="宋体"/>
          <w:sz w:val="36"/>
          <w:szCs w:val="36"/>
        </w:rPr>
      </w:pPr>
      <w:r>
        <w:rPr>
          <w:rFonts w:hAnsi="宋体"/>
          <w:sz w:val="32"/>
          <w:szCs w:val="32"/>
        </w:rPr>
        <w:t>第</w:t>
      </w:r>
      <w:r>
        <w:rPr>
          <w:rFonts w:hint="eastAsia" w:hAnsi="宋体"/>
          <w:sz w:val="32"/>
          <w:szCs w:val="32"/>
        </w:rPr>
        <w:t>七</w:t>
      </w:r>
      <w:r>
        <w:rPr>
          <w:rFonts w:hAnsi="宋体"/>
          <w:sz w:val="32"/>
          <w:szCs w:val="32"/>
        </w:rPr>
        <w:t>章</w:t>
      </w:r>
      <w:r>
        <w:rPr>
          <w:rFonts w:hint="eastAsia" w:hAnsi="宋体"/>
          <w:sz w:val="32"/>
          <w:szCs w:val="32"/>
        </w:rPr>
        <w:t xml:space="preserve"> 响应文件组成及格式</w:t>
      </w:r>
    </w:p>
    <w:p>
      <w:pPr>
        <w:spacing w:line="360" w:lineRule="auto"/>
        <w:rPr>
          <w:rFonts w:hAnsi="宋体"/>
          <w:b/>
          <w:bCs/>
          <w:sz w:val="36"/>
          <w:szCs w:val="36"/>
        </w:rPr>
      </w:pPr>
      <w:r>
        <w:rPr>
          <w:rFonts w:hAnsi="宋体"/>
          <w:b/>
          <w:bCs/>
          <w:sz w:val="36"/>
          <w:szCs w:val="36"/>
        </w:rPr>
        <w:fldChar w:fldCharType="end"/>
      </w:r>
    </w:p>
    <w:p>
      <w:pPr>
        <w:pStyle w:val="20"/>
        <w:ind w:left="0" w:leftChars="0" w:firstLine="0" w:firstLineChars="0"/>
        <w:rPr>
          <w:rFonts w:hAnsi="宋体" w:cs="宋体"/>
          <w:b/>
          <w:sz w:val="24"/>
        </w:rPr>
        <w:sectPr>
          <w:headerReference r:id="rId3" w:type="default"/>
          <w:headerReference r:id="rId4" w:type="even"/>
          <w:pgSz w:w="11906" w:h="16838"/>
          <w:pgMar w:top="1247" w:right="1418" w:bottom="1247" w:left="1418" w:header="851" w:footer="992" w:gutter="0"/>
          <w:pgNumType w:start="1"/>
          <w:cols w:space="720" w:num="1"/>
          <w:docGrid w:type="linesAndChars" w:linePitch="312" w:charSpace="0"/>
        </w:sectPr>
      </w:pPr>
    </w:p>
    <w:p>
      <w:pPr>
        <w:pStyle w:val="20"/>
        <w:ind w:left="0" w:leftChars="0" w:firstLine="0" w:firstLineChars="0"/>
        <w:rPr>
          <w:rFonts w:hAnsi="宋体" w:cs="宋体"/>
          <w:b/>
          <w:sz w:val="24"/>
        </w:rPr>
      </w:pPr>
      <w:r>
        <w:rPr>
          <w:rFonts w:hint="eastAsia" w:hAnsi="宋体" w:cs="宋体"/>
          <w:b/>
          <w:sz w:val="24"/>
        </w:rPr>
        <w:t>尊敬的磋商响应供应商：</w:t>
      </w:r>
    </w:p>
    <w:p>
      <w:pPr>
        <w:pStyle w:val="4"/>
        <w:keepNext w:val="0"/>
        <w:keepLines w:val="0"/>
        <w:adjustRightInd w:val="0"/>
        <w:snapToGrid w:val="0"/>
        <w:spacing w:before="0" w:after="0" w:line="240" w:lineRule="auto"/>
        <w:ind w:firstLine="480" w:firstLineChars="200"/>
        <w:jc w:val="left"/>
        <w:textAlignment w:val="baseline"/>
        <w:rPr>
          <w:rFonts w:ascii="宋体" w:hAnsi="宋体" w:eastAsia="宋体"/>
          <w:w w:val="80"/>
          <w:sz w:val="24"/>
          <w:szCs w:val="24"/>
        </w:rPr>
      </w:pPr>
      <w:r>
        <w:rPr>
          <w:rFonts w:hint="eastAsia" w:ascii="宋体" w:hAnsi="宋体" w:eastAsia="宋体" w:cs="宋体"/>
          <w:kern w:val="2"/>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4"/>
        <w:keepNext w:val="0"/>
        <w:keepLines w:val="0"/>
        <w:adjustRightInd w:val="0"/>
        <w:snapToGrid w:val="0"/>
        <w:spacing w:before="0" w:after="0" w:line="240" w:lineRule="auto"/>
        <w:jc w:val="center"/>
        <w:textAlignment w:val="baseline"/>
        <w:rPr>
          <w:rFonts w:ascii="宋体" w:hAnsi="宋体" w:eastAsia="宋体"/>
          <w:w w:val="80"/>
          <w:szCs w:val="44"/>
        </w:rPr>
      </w:pPr>
      <w:r>
        <w:rPr>
          <w:rFonts w:hint="eastAsia" w:ascii="宋体" w:hAnsi="宋体" w:eastAsia="宋体"/>
          <w:w w:val="80"/>
          <w:szCs w:val="44"/>
        </w:rPr>
        <w:t>第一章  竞争性磋商公告</w:t>
      </w:r>
    </w:p>
    <w:p/>
    <w:p>
      <w:pPr>
        <w:snapToGrid w:val="0"/>
        <w:spacing w:line="360" w:lineRule="auto"/>
        <w:ind w:left="-2" w:leftChars="-1" w:firstLine="429"/>
        <w:rPr>
          <w:rFonts w:ascii="宋体" w:hAnsi="宋体" w:cs="宋体"/>
          <w:sz w:val="24"/>
          <w:szCs w:val="24"/>
        </w:rPr>
      </w:pPr>
      <w:r>
        <w:rPr>
          <w:rFonts w:hint="eastAsia" w:ascii="宋体" w:hAnsi="宋体" w:cs="宋体"/>
          <w:sz w:val="24"/>
          <w:szCs w:val="24"/>
        </w:rPr>
        <w:t>上海申邑工程咨询有限公司（以下称代理机构）受南通市计量检定测试所（以下称采购单位）的委托，就</w:t>
      </w:r>
      <w:r>
        <w:rPr>
          <w:rFonts w:hint="eastAsia" w:ascii="宋体" w:hAnsi="宋体" w:cs="宋体"/>
          <w:sz w:val="24"/>
          <w:szCs w:val="24"/>
          <w:lang w:eastAsia="zh-CN"/>
        </w:rPr>
        <w:t>南通市计量检定测试所医用大型灭菌器灭菌效果物理参数检测系统采购项目</w:t>
      </w:r>
      <w:r>
        <w:rPr>
          <w:rFonts w:hint="eastAsia" w:ascii="宋体" w:hAnsi="宋体" w:cs="宋体"/>
          <w:sz w:val="24"/>
          <w:szCs w:val="24"/>
        </w:rPr>
        <w:t>组织竞争性磋商采购，诚邀符合资格条件的潜在供应商参加磋商响应。</w:t>
      </w:r>
    </w:p>
    <w:p>
      <w:pPr>
        <w:snapToGrid w:val="0"/>
        <w:spacing w:line="360" w:lineRule="auto"/>
        <w:ind w:left="-2" w:leftChars="-1" w:firstLine="429"/>
        <w:rPr>
          <w:rFonts w:ascii="宋体" w:hAnsi="宋体" w:cs="宋体"/>
          <w:sz w:val="24"/>
          <w:szCs w:val="24"/>
        </w:rPr>
      </w:pPr>
      <w:r>
        <w:rPr>
          <w:rFonts w:hint="eastAsia" w:ascii="宋体" w:hAnsi="宋体" w:cs="宋体"/>
          <w:sz w:val="24"/>
          <w:szCs w:val="24"/>
        </w:rPr>
        <w:t>一、项目名称：</w:t>
      </w:r>
      <w:r>
        <w:rPr>
          <w:rFonts w:hint="eastAsia" w:ascii="宋体" w:hAnsi="宋体" w:cs="宋体"/>
          <w:sz w:val="24"/>
          <w:szCs w:val="24"/>
          <w:lang w:eastAsia="zh-CN"/>
        </w:rPr>
        <w:t>南通市计量检定测试所医用大型灭菌器灭菌效果物理参数检测系统采购项目</w:t>
      </w:r>
      <w:r>
        <w:rPr>
          <w:rFonts w:hint="eastAsia" w:ascii="宋体" w:hAnsi="宋体" w:cs="宋体"/>
          <w:sz w:val="24"/>
          <w:szCs w:val="24"/>
        </w:rPr>
        <w:t>；</w:t>
      </w:r>
    </w:p>
    <w:p>
      <w:pPr>
        <w:snapToGrid w:val="0"/>
        <w:spacing w:line="360" w:lineRule="auto"/>
        <w:ind w:left="-2" w:leftChars="-1" w:firstLine="429"/>
        <w:rPr>
          <w:rFonts w:ascii="宋体" w:hAnsi="宋体" w:cs="宋体"/>
          <w:sz w:val="24"/>
          <w:szCs w:val="24"/>
        </w:rPr>
      </w:pPr>
      <w:r>
        <w:rPr>
          <w:rFonts w:hint="eastAsia" w:ascii="宋体" w:hAnsi="宋体" w:cs="宋体"/>
          <w:sz w:val="24"/>
          <w:szCs w:val="24"/>
        </w:rPr>
        <w:t>二、项目需求：详见本磋商文件第三章；</w:t>
      </w:r>
    </w:p>
    <w:p>
      <w:pPr>
        <w:snapToGrid w:val="0"/>
        <w:spacing w:line="360" w:lineRule="auto"/>
        <w:ind w:left="-2" w:leftChars="-1" w:firstLine="429"/>
        <w:rPr>
          <w:rFonts w:ascii="宋体" w:hAnsi="宋体" w:cs="宋体"/>
          <w:sz w:val="24"/>
          <w:szCs w:val="24"/>
        </w:rPr>
      </w:pPr>
      <w:r>
        <w:rPr>
          <w:rFonts w:hint="eastAsia" w:ascii="宋体" w:hAnsi="宋体" w:cs="宋体"/>
          <w:sz w:val="24"/>
          <w:szCs w:val="24"/>
        </w:rPr>
        <w:t>三、</w:t>
      </w:r>
      <w:r>
        <w:rPr>
          <w:rFonts w:hint="eastAsia" w:ascii="宋体" w:hAnsi="宋体"/>
          <w:sz w:val="24"/>
          <w:szCs w:val="24"/>
        </w:rPr>
        <w:t>项目预算</w:t>
      </w:r>
      <w:r>
        <w:rPr>
          <w:rFonts w:hint="eastAsia" w:ascii="宋体" w:hAnsi="宋体" w:cs="宋体"/>
          <w:sz w:val="24"/>
          <w:szCs w:val="24"/>
        </w:rPr>
        <w:t>：</w:t>
      </w:r>
      <w:r>
        <w:rPr>
          <w:rFonts w:hint="eastAsia" w:ascii="宋体" w:hAnsi="宋体"/>
          <w:sz w:val="24"/>
          <w:szCs w:val="24"/>
        </w:rPr>
        <w:t>人民币</w:t>
      </w:r>
      <w:r>
        <w:rPr>
          <w:rFonts w:ascii="宋体" w:hAnsi="宋体"/>
          <w:sz w:val="24"/>
          <w:szCs w:val="24"/>
        </w:rPr>
        <w:t>20</w:t>
      </w:r>
      <w:r>
        <w:rPr>
          <w:rFonts w:hint="eastAsia" w:ascii="宋体" w:hAnsi="宋体"/>
          <w:sz w:val="24"/>
          <w:szCs w:val="24"/>
        </w:rPr>
        <w:t>万元</w:t>
      </w:r>
      <w:r>
        <w:rPr>
          <w:rFonts w:hint="eastAsia" w:ascii="宋体" w:hAnsi="宋体" w:cs="宋体"/>
          <w:sz w:val="24"/>
          <w:szCs w:val="24"/>
        </w:rPr>
        <w:t>；</w:t>
      </w:r>
    </w:p>
    <w:p>
      <w:pPr>
        <w:snapToGrid w:val="0"/>
        <w:spacing w:line="360" w:lineRule="auto"/>
        <w:ind w:left="-2" w:leftChars="-1" w:firstLine="429"/>
        <w:rPr>
          <w:rFonts w:ascii="宋体" w:hAnsi="宋体" w:cs="宋体"/>
          <w:sz w:val="24"/>
          <w:szCs w:val="24"/>
        </w:rPr>
      </w:pPr>
      <w:r>
        <w:rPr>
          <w:rFonts w:hint="eastAsia" w:ascii="宋体" w:hAnsi="宋体" w:cs="宋体"/>
          <w:sz w:val="24"/>
          <w:szCs w:val="24"/>
        </w:rPr>
        <w:t>四、供应商资格：</w:t>
      </w:r>
    </w:p>
    <w:p>
      <w:pPr>
        <w:snapToGrid w:val="0"/>
        <w:spacing w:line="360" w:lineRule="auto"/>
        <w:ind w:left="-2" w:leftChars="-1" w:firstLine="429"/>
        <w:rPr>
          <w:rFonts w:ascii="宋体" w:hAnsi="宋体"/>
          <w:sz w:val="24"/>
          <w:szCs w:val="24"/>
        </w:rPr>
      </w:pPr>
      <w:bookmarkStart w:id="0" w:name="_Hlk48134556"/>
      <w:r>
        <w:rPr>
          <w:rFonts w:hint="eastAsia" w:ascii="宋体" w:hAnsi="宋体"/>
          <w:sz w:val="24"/>
          <w:szCs w:val="24"/>
        </w:rPr>
        <w:t>1、具有独立承担民事责任的能力</w:t>
      </w:r>
      <w:bookmarkEnd w:id="0"/>
      <w:r>
        <w:rPr>
          <w:rFonts w:hint="eastAsia" w:ascii="宋体" w:hAnsi="宋体"/>
          <w:sz w:val="24"/>
          <w:szCs w:val="24"/>
        </w:rPr>
        <w:t>；具有良好的商业信誉和健全的财务会计制度；具有履行合同所必需的设备和专业技术能力；有依法缴纳税收和社会保障资金的良好记录；参加政府采购活动前三年内，在经营活动中没有重大违法记录；</w:t>
      </w:r>
      <w:r>
        <w:rPr>
          <w:rStyle w:val="56"/>
          <w:rFonts w:ascii="宋体" w:hAnsi="宋体"/>
          <w:sz w:val="24"/>
          <w:szCs w:val="24"/>
        </w:rPr>
        <w:t>法律、行政法规规定的其他条件</w:t>
      </w:r>
      <w:r>
        <w:rPr>
          <w:rFonts w:hint="eastAsia" w:ascii="宋体" w:hAnsi="宋体"/>
          <w:sz w:val="24"/>
          <w:szCs w:val="24"/>
        </w:rPr>
        <w:t>。</w:t>
      </w:r>
    </w:p>
    <w:p>
      <w:pPr>
        <w:pStyle w:val="20"/>
        <w:spacing w:line="360" w:lineRule="auto"/>
        <w:ind w:left="0" w:leftChars="0" w:firstLine="480"/>
        <w:rPr>
          <w:rFonts w:ascii="宋体" w:hAnsi="宋体"/>
          <w:sz w:val="24"/>
        </w:rPr>
      </w:pPr>
      <w:r>
        <w:rPr>
          <w:rFonts w:hint="eastAsia" w:ascii="宋体" w:hAnsi="宋体"/>
          <w:sz w:val="24"/>
        </w:rPr>
        <w:t>2、供应商必须是具备独立法人资格的制造商或其授权的代理商（或经销商）；须提供省级及以上计量科学研究院出具的检定/校准证书。</w:t>
      </w:r>
    </w:p>
    <w:p>
      <w:pPr>
        <w:pStyle w:val="20"/>
        <w:spacing w:line="360" w:lineRule="auto"/>
        <w:ind w:left="0" w:leftChars="0" w:firstLine="480"/>
        <w:rPr>
          <w:rFonts w:ascii="宋体" w:hAnsi="宋体"/>
          <w:sz w:val="24"/>
        </w:rPr>
      </w:pPr>
      <w:r>
        <w:rPr>
          <w:rFonts w:hint="eastAsia" w:ascii="宋体" w:hAnsi="宋体"/>
          <w:sz w:val="24"/>
        </w:rPr>
        <w:t>3、必须具备完善的售后服务体系。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4、法定代表人为同一个人的两个及两个以上法人，母公司、全资子公司及其控股公司，都不得在同一采购项目相同标段中同时参加磋商，一经发现，将视同围标处理。</w:t>
      </w:r>
    </w:p>
    <w:p>
      <w:pPr>
        <w:snapToGrid w:val="0"/>
        <w:spacing w:line="360" w:lineRule="auto"/>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、本项目不接受联合体参与磋商。</w:t>
      </w:r>
    </w:p>
    <w:p>
      <w:pPr>
        <w:widowControl/>
        <w:snapToGrid w:val="0"/>
        <w:spacing w:line="480" w:lineRule="exact"/>
        <w:ind w:firstLine="480" w:firstLineChars="200"/>
        <w:jc w:val="left"/>
        <w:rPr>
          <w:rFonts w:ascii="宋体" w:hAnsi="宋体"/>
          <w:sz w:val="24"/>
          <w:szCs w:val="24"/>
        </w:rPr>
      </w:pPr>
      <w:r>
        <w:rPr>
          <w:rFonts w:hint="eastAsia" w:ascii="宋体" w:hAnsi="宋体"/>
          <w:sz w:val="24"/>
          <w:szCs w:val="24"/>
        </w:rPr>
        <w:t>五、本公告发布网站：南通市市场监督管理局网站。凡涉及磋商文件的补充说明、澄清或修改，均以南通市市场监督管理局网发布的信息为准。</w:t>
      </w:r>
    </w:p>
    <w:p>
      <w:pPr>
        <w:widowControl/>
        <w:snapToGrid w:val="0"/>
        <w:spacing w:line="480" w:lineRule="exact"/>
        <w:ind w:firstLine="480" w:firstLineChars="200"/>
        <w:jc w:val="left"/>
        <w:rPr>
          <w:rFonts w:ascii="宋体" w:hAnsi="宋体"/>
          <w:sz w:val="24"/>
          <w:szCs w:val="24"/>
        </w:rPr>
      </w:pPr>
      <w:r>
        <w:rPr>
          <w:rFonts w:hint="eastAsia" w:ascii="宋体" w:hAnsi="宋体"/>
          <w:sz w:val="24"/>
          <w:szCs w:val="24"/>
        </w:rPr>
        <w:t>六、磋商文件的获取</w:t>
      </w:r>
    </w:p>
    <w:p>
      <w:pPr>
        <w:widowControl/>
        <w:snapToGrid w:val="0"/>
        <w:spacing w:line="480" w:lineRule="exact"/>
        <w:ind w:firstLine="480" w:firstLineChars="200"/>
        <w:jc w:val="left"/>
        <w:rPr>
          <w:rFonts w:ascii="宋体" w:hAnsi="宋体"/>
          <w:sz w:val="24"/>
          <w:szCs w:val="24"/>
        </w:rPr>
      </w:pPr>
      <w:r>
        <w:rPr>
          <w:rFonts w:hint="eastAsia" w:ascii="宋体" w:hAnsi="宋体"/>
          <w:sz w:val="24"/>
          <w:szCs w:val="24"/>
        </w:rPr>
        <w:t>1.磋商文件领取时间：2022年</w:t>
      </w:r>
      <w:r>
        <w:rPr>
          <w:rFonts w:hint="eastAsia" w:ascii="宋体" w:hAnsi="宋体"/>
          <w:sz w:val="24"/>
          <w:szCs w:val="24"/>
          <w:lang w:val="en-US" w:eastAsia="zh-CN"/>
        </w:rPr>
        <w:t>6</w:t>
      </w:r>
      <w:r>
        <w:rPr>
          <w:rFonts w:hint="eastAsia" w:ascii="宋体" w:hAnsi="宋体"/>
          <w:sz w:val="24"/>
          <w:szCs w:val="24"/>
        </w:rPr>
        <w:t xml:space="preserve"> 月</w:t>
      </w:r>
      <w:r>
        <w:rPr>
          <w:rFonts w:hint="eastAsia" w:ascii="宋体" w:hAnsi="宋体"/>
          <w:sz w:val="24"/>
          <w:szCs w:val="24"/>
          <w:lang w:val="en-US" w:eastAsia="zh-CN"/>
        </w:rPr>
        <w:t>6</w:t>
      </w:r>
      <w:r>
        <w:rPr>
          <w:rFonts w:hint="eastAsia" w:ascii="宋体" w:hAnsi="宋体"/>
          <w:sz w:val="24"/>
          <w:szCs w:val="24"/>
        </w:rPr>
        <w:t>日-2022年</w:t>
      </w:r>
      <w:r>
        <w:rPr>
          <w:rFonts w:hint="eastAsia" w:ascii="宋体" w:hAnsi="宋体"/>
          <w:sz w:val="24"/>
          <w:szCs w:val="24"/>
          <w:lang w:val="en-US" w:eastAsia="zh-CN"/>
        </w:rPr>
        <w:t>6</w:t>
      </w:r>
      <w:r>
        <w:rPr>
          <w:rFonts w:hint="eastAsia" w:ascii="宋体" w:hAnsi="宋体"/>
          <w:sz w:val="24"/>
          <w:szCs w:val="24"/>
        </w:rPr>
        <w:t xml:space="preserve"> 月</w:t>
      </w:r>
      <w:r>
        <w:rPr>
          <w:rFonts w:hint="eastAsia" w:ascii="宋体" w:hAnsi="宋体"/>
          <w:sz w:val="24"/>
          <w:szCs w:val="24"/>
          <w:lang w:val="en-US" w:eastAsia="zh-CN"/>
        </w:rPr>
        <w:t>10</w:t>
      </w:r>
      <w:r>
        <w:rPr>
          <w:rFonts w:hint="eastAsia" w:ascii="宋体" w:hAnsi="宋体"/>
          <w:sz w:val="24"/>
          <w:szCs w:val="24"/>
        </w:rPr>
        <w:t>日（每天8:30-11:30,13:30-16：00）（北京时间），双休日及法定节假日除外。</w:t>
      </w:r>
    </w:p>
    <w:p>
      <w:pPr>
        <w:widowControl/>
        <w:snapToGrid w:val="0"/>
        <w:spacing w:line="480" w:lineRule="exact"/>
        <w:ind w:firstLine="480" w:firstLineChars="200"/>
        <w:jc w:val="left"/>
        <w:rPr>
          <w:rFonts w:ascii="宋体" w:hAnsi="宋体"/>
          <w:sz w:val="24"/>
          <w:szCs w:val="24"/>
        </w:rPr>
      </w:pPr>
      <w:r>
        <w:rPr>
          <w:rFonts w:hint="eastAsia" w:ascii="宋体" w:hAnsi="宋体"/>
          <w:sz w:val="24"/>
          <w:szCs w:val="24"/>
        </w:rPr>
        <w:t>2.磋商文件获取方式</w:t>
      </w:r>
    </w:p>
    <w:p>
      <w:pPr>
        <w:widowControl/>
        <w:snapToGrid w:val="0"/>
        <w:spacing w:line="480" w:lineRule="exact"/>
        <w:ind w:firstLine="720" w:firstLineChars="300"/>
        <w:jc w:val="left"/>
        <w:rPr>
          <w:rFonts w:ascii="宋体" w:hAnsi="宋体"/>
          <w:sz w:val="24"/>
          <w:szCs w:val="24"/>
        </w:rPr>
      </w:pPr>
      <w:r>
        <w:rPr>
          <w:rFonts w:hint="eastAsia" w:ascii="宋体" w:hAnsi="宋体"/>
          <w:sz w:val="24"/>
          <w:szCs w:val="24"/>
        </w:rPr>
        <w:t>现场领取磋商文件。申请人领取文件时需提供：营业执照复印件、法定代表人身份证明或授权委托书（如有授权）及身份证明。</w:t>
      </w:r>
    </w:p>
    <w:p>
      <w:pPr>
        <w:numPr>
          <w:ilvl w:val="0"/>
          <w:numId w:val="2"/>
        </w:numPr>
        <w:spacing w:line="360" w:lineRule="auto"/>
        <w:ind w:firstLine="480" w:firstLineChars="200"/>
        <w:rPr>
          <w:rFonts w:ascii="宋体" w:hAnsi="宋体"/>
          <w:sz w:val="24"/>
          <w:szCs w:val="24"/>
        </w:rPr>
      </w:pPr>
      <w:r>
        <w:rPr>
          <w:rFonts w:hint="eastAsia" w:ascii="宋体" w:hAnsi="宋体"/>
          <w:sz w:val="24"/>
          <w:szCs w:val="24"/>
        </w:rPr>
        <w:t>磋商文件获取地址：南通市崇川区桃坞路2号友谊大厦10楼上海申邑工程咨询有限公司江苏分公司，如有变动另行通知。</w:t>
      </w:r>
    </w:p>
    <w:p>
      <w:pPr>
        <w:spacing w:line="360" w:lineRule="auto"/>
        <w:ind w:firstLine="480" w:firstLineChars="200"/>
        <w:rPr>
          <w:rFonts w:ascii="宋体" w:hAnsi="宋体" w:cs="宋体"/>
          <w:sz w:val="24"/>
          <w:szCs w:val="24"/>
        </w:rPr>
      </w:pPr>
      <w:r>
        <w:rPr>
          <w:rFonts w:hint="eastAsia" w:ascii="宋体" w:hAnsi="宋体" w:cs="宋体"/>
          <w:sz w:val="24"/>
          <w:szCs w:val="24"/>
        </w:rPr>
        <w:t>七、评标办法：综合评分法，详见磋商文件第四章。</w:t>
      </w:r>
    </w:p>
    <w:p>
      <w:pPr>
        <w:spacing w:line="360" w:lineRule="auto"/>
        <w:ind w:firstLine="480" w:firstLineChars="200"/>
        <w:rPr>
          <w:rFonts w:ascii="宋体" w:hAnsi="宋体" w:cs="宋体"/>
          <w:sz w:val="24"/>
          <w:szCs w:val="24"/>
        </w:rPr>
      </w:pPr>
      <w:r>
        <w:rPr>
          <w:rFonts w:hint="eastAsia" w:ascii="宋体" w:hAnsi="宋体" w:cs="宋体"/>
          <w:sz w:val="24"/>
          <w:szCs w:val="24"/>
        </w:rPr>
        <w:t>八、磋商响应文件接收截止及评审的时间为：</w:t>
      </w:r>
      <w:r>
        <w:rPr>
          <w:rFonts w:hint="eastAsia" w:ascii="宋体" w:hAnsi="宋体" w:cs="宋体"/>
          <w:sz w:val="24"/>
          <w:szCs w:val="24"/>
          <w:u w:val="single"/>
        </w:rPr>
        <w:t>2022年</w:t>
      </w:r>
      <w:r>
        <w:rPr>
          <w:rFonts w:hint="eastAsia" w:ascii="宋体" w:hAnsi="宋体" w:cs="宋体"/>
          <w:sz w:val="24"/>
          <w:szCs w:val="24"/>
          <w:u w:val="single"/>
          <w:lang w:val="en-US" w:eastAsia="zh-CN"/>
        </w:rPr>
        <w:t>6</w:t>
      </w:r>
      <w:r>
        <w:rPr>
          <w:rFonts w:hint="eastAsia" w:ascii="宋体" w:hAnsi="宋体" w:cs="宋体"/>
          <w:sz w:val="24"/>
          <w:szCs w:val="24"/>
          <w:u w:val="single"/>
        </w:rPr>
        <w:t>月</w:t>
      </w:r>
      <w:r>
        <w:rPr>
          <w:rFonts w:hint="eastAsia" w:ascii="宋体" w:hAnsi="宋体" w:cs="宋体"/>
          <w:sz w:val="24"/>
          <w:szCs w:val="24"/>
          <w:u w:val="single"/>
          <w:lang w:val="en-US" w:eastAsia="zh-CN"/>
        </w:rPr>
        <w:t>17</w:t>
      </w:r>
      <w:r>
        <w:rPr>
          <w:rFonts w:hint="eastAsia" w:ascii="宋体" w:hAnsi="宋体" w:cs="宋体"/>
          <w:sz w:val="24"/>
          <w:szCs w:val="24"/>
          <w:u w:val="single"/>
        </w:rPr>
        <w:t xml:space="preserve"> 日 </w:t>
      </w:r>
      <w:r>
        <w:rPr>
          <w:rFonts w:ascii="宋体" w:hAnsi="宋体" w:cs="宋体"/>
          <w:sz w:val="24"/>
          <w:szCs w:val="24"/>
          <w:u w:val="single"/>
        </w:rPr>
        <w:t>1</w:t>
      </w:r>
      <w:r>
        <w:rPr>
          <w:rFonts w:hint="eastAsia" w:ascii="宋体" w:hAnsi="宋体" w:cs="宋体"/>
          <w:sz w:val="24"/>
          <w:szCs w:val="24"/>
          <w:u w:val="single"/>
          <w:lang w:val="en-US" w:eastAsia="zh-CN"/>
        </w:rPr>
        <w:t>5</w:t>
      </w:r>
      <w:r>
        <w:rPr>
          <w:rFonts w:hint="eastAsia" w:ascii="宋体" w:hAnsi="宋体" w:cs="宋体"/>
          <w:sz w:val="24"/>
          <w:szCs w:val="24"/>
          <w:u w:val="single"/>
        </w:rPr>
        <w:t>时</w:t>
      </w:r>
      <w:r>
        <w:rPr>
          <w:rFonts w:hint="eastAsia" w:ascii="宋体" w:hAnsi="宋体" w:cs="宋体"/>
          <w:sz w:val="24"/>
          <w:szCs w:val="24"/>
        </w:rPr>
        <w:t>；地址：</w:t>
      </w:r>
      <w:r>
        <w:rPr>
          <w:rFonts w:hint="eastAsia" w:ascii="宋体" w:hAnsi="宋体"/>
          <w:sz w:val="24"/>
          <w:szCs w:val="24"/>
        </w:rPr>
        <w:t>南通市崇川区桃坞路2号友谊大厦10楼上海申邑工程咨询有限公司</w:t>
      </w:r>
      <w:r>
        <w:rPr>
          <w:rFonts w:hint="eastAsia" w:ascii="宋体" w:hAnsi="宋体" w:cs="宋体"/>
          <w:sz w:val="24"/>
          <w:szCs w:val="24"/>
        </w:rPr>
        <w:t xml:space="preserve"> ，如有变动另行通知。</w:t>
      </w:r>
    </w:p>
    <w:p>
      <w:pPr>
        <w:spacing w:line="480" w:lineRule="exact"/>
        <w:ind w:firstLine="480" w:firstLineChars="200"/>
        <w:rPr>
          <w:rFonts w:ascii="宋体" w:hAnsi="宋体" w:cs="宋体"/>
          <w:sz w:val="24"/>
          <w:szCs w:val="24"/>
        </w:rPr>
      </w:pPr>
      <w:r>
        <w:rPr>
          <w:rFonts w:hint="eastAsia" w:ascii="宋体" w:hAnsi="宋体" w:cs="宋体"/>
          <w:sz w:val="24"/>
          <w:szCs w:val="24"/>
        </w:rPr>
        <w:t>九、</w:t>
      </w:r>
      <w:r>
        <w:rPr>
          <w:rFonts w:ascii="宋体" w:hAnsi="宋体" w:cs="宋体"/>
          <w:sz w:val="24"/>
          <w:szCs w:val="24"/>
        </w:rPr>
        <w:t>其他</w:t>
      </w:r>
    </w:p>
    <w:p>
      <w:pPr>
        <w:spacing w:line="480" w:lineRule="exact"/>
        <w:ind w:firstLine="480" w:firstLineChars="200"/>
        <w:rPr>
          <w:rFonts w:hint="eastAsia" w:ascii="宋体" w:hAnsi="宋体"/>
          <w:color w:val="FF0000"/>
          <w:sz w:val="24"/>
          <w:szCs w:val="24"/>
          <w:highlight w:val="none"/>
        </w:rPr>
      </w:pPr>
      <w:r>
        <w:rPr>
          <w:rFonts w:hint="eastAsia" w:ascii="宋体" w:hAnsi="宋体"/>
          <w:color w:val="FF0000"/>
          <w:sz w:val="24"/>
          <w:szCs w:val="24"/>
          <w:highlight w:val="none"/>
        </w:rPr>
        <w:t>因疫情防控原因，本项目将采用不见面开标形式进行，参与本项目的供应商须将响应文件在开标截止时</w:t>
      </w:r>
      <w:r>
        <w:rPr>
          <w:rFonts w:hint="eastAsia" w:ascii="宋体" w:hAnsi="宋体" w:eastAsia="宋体" w:cs="Times New Roman"/>
          <w:color w:val="FF0000"/>
          <w:sz w:val="24"/>
          <w:szCs w:val="24"/>
          <w:highlight w:val="none"/>
        </w:rPr>
        <w:t>间</w:t>
      </w:r>
      <w:r>
        <w:rPr>
          <w:rFonts w:hint="eastAsia" w:ascii="宋体" w:hAnsi="宋体" w:eastAsia="宋体" w:cs="Times New Roman"/>
          <w:color w:val="FF0000"/>
          <w:sz w:val="24"/>
          <w:szCs w:val="24"/>
          <w:highlight w:val="none"/>
          <w:lang w:eastAsia="zh-CN"/>
        </w:rPr>
        <w:t>（2022年</w:t>
      </w:r>
      <w:r>
        <w:rPr>
          <w:rFonts w:hint="eastAsia" w:ascii="宋体" w:hAnsi="宋体" w:eastAsia="宋体" w:cs="Times New Roman"/>
          <w:color w:val="FF0000"/>
          <w:sz w:val="24"/>
          <w:szCs w:val="24"/>
          <w:highlight w:val="none"/>
          <w:lang w:val="en-US" w:eastAsia="zh-CN"/>
        </w:rPr>
        <w:t>6</w:t>
      </w:r>
      <w:r>
        <w:rPr>
          <w:rFonts w:hint="eastAsia" w:ascii="宋体" w:hAnsi="宋体" w:eastAsia="宋体" w:cs="Times New Roman"/>
          <w:color w:val="FF0000"/>
          <w:sz w:val="24"/>
          <w:szCs w:val="24"/>
          <w:highlight w:val="none"/>
        </w:rPr>
        <w:t>月</w:t>
      </w:r>
      <w:r>
        <w:rPr>
          <w:rFonts w:hint="eastAsia" w:ascii="宋体" w:hAnsi="宋体" w:eastAsia="宋体" w:cs="Times New Roman"/>
          <w:color w:val="FF0000"/>
          <w:sz w:val="24"/>
          <w:szCs w:val="24"/>
          <w:highlight w:val="none"/>
          <w:lang w:val="en-US" w:eastAsia="zh-CN"/>
        </w:rPr>
        <w:t>17</w:t>
      </w:r>
      <w:r>
        <w:rPr>
          <w:rFonts w:hint="eastAsia" w:ascii="宋体" w:hAnsi="宋体" w:eastAsia="宋体" w:cs="Times New Roman"/>
          <w:color w:val="FF0000"/>
          <w:sz w:val="24"/>
          <w:szCs w:val="24"/>
          <w:highlight w:val="none"/>
        </w:rPr>
        <w:t>日</w:t>
      </w:r>
      <w:r>
        <w:rPr>
          <w:rFonts w:hint="eastAsia" w:ascii="宋体" w:hAnsi="宋体" w:eastAsia="宋体" w:cs="Times New Roman"/>
          <w:color w:val="FF0000"/>
          <w:sz w:val="24"/>
          <w:szCs w:val="24"/>
          <w:highlight w:val="none"/>
          <w:lang w:val="en-US" w:eastAsia="zh-CN"/>
        </w:rPr>
        <w:t>上</w:t>
      </w:r>
      <w:r>
        <w:rPr>
          <w:rFonts w:hint="eastAsia" w:ascii="宋体" w:hAnsi="宋体" w:eastAsia="宋体" w:cs="Times New Roman"/>
          <w:color w:val="FF0000"/>
          <w:sz w:val="24"/>
          <w:szCs w:val="24"/>
          <w:highlight w:val="none"/>
        </w:rPr>
        <w:t>午</w:t>
      </w:r>
      <w:r>
        <w:rPr>
          <w:rFonts w:hint="eastAsia" w:ascii="宋体" w:hAnsi="宋体" w:eastAsia="宋体" w:cs="Times New Roman"/>
          <w:color w:val="FF0000"/>
          <w:sz w:val="24"/>
          <w:szCs w:val="24"/>
          <w:highlight w:val="none"/>
          <w:lang w:val="en-US" w:eastAsia="zh-CN"/>
        </w:rPr>
        <w:t>11</w:t>
      </w:r>
      <w:r>
        <w:rPr>
          <w:rFonts w:hint="eastAsia" w:ascii="宋体" w:hAnsi="宋体" w:eastAsia="宋体" w:cs="Times New Roman"/>
          <w:color w:val="FF0000"/>
          <w:sz w:val="24"/>
          <w:szCs w:val="24"/>
          <w:highlight w:val="none"/>
        </w:rPr>
        <w:t>时30分</w:t>
      </w:r>
      <w:r>
        <w:rPr>
          <w:rFonts w:hint="eastAsia" w:ascii="宋体" w:hAnsi="宋体" w:eastAsia="宋体" w:cs="Times New Roman"/>
          <w:color w:val="FF0000"/>
          <w:sz w:val="24"/>
          <w:szCs w:val="24"/>
          <w:highlight w:val="none"/>
          <w:lang w:eastAsia="zh-CN"/>
        </w:rPr>
        <w:t>）</w:t>
      </w:r>
      <w:r>
        <w:rPr>
          <w:rFonts w:hint="eastAsia" w:ascii="宋体" w:hAnsi="宋体" w:eastAsia="宋体" w:cs="Times New Roman"/>
          <w:color w:val="FF0000"/>
          <w:sz w:val="24"/>
          <w:szCs w:val="24"/>
          <w:highlight w:val="none"/>
        </w:rPr>
        <w:t>前</w:t>
      </w:r>
      <w:r>
        <w:rPr>
          <w:rFonts w:hint="eastAsia" w:ascii="宋体" w:hAnsi="宋体" w:eastAsia="宋体" w:cs="Times New Roman"/>
          <w:color w:val="FF0000"/>
          <w:sz w:val="24"/>
          <w:szCs w:val="24"/>
          <w:highlight w:val="none"/>
          <w:lang w:val="en-US" w:eastAsia="zh-CN"/>
        </w:rPr>
        <w:t>送至或</w:t>
      </w:r>
      <w:r>
        <w:rPr>
          <w:rFonts w:hint="eastAsia" w:ascii="宋体" w:hAnsi="宋体" w:eastAsia="宋体" w:cs="Times New Roman"/>
          <w:color w:val="FF0000"/>
          <w:sz w:val="24"/>
          <w:szCs w:val="24"/>
          <w:highlight w:val="none"/>
        </w:rPr>
        <w:t>寄至代理机构（地址：南通市崇川区桃坞路2号友谊大厦 10楼招标部；收件人：顾工；联系电话：151</w:t>
      </w:r>
      <w:r>
        <w:rPr>
          <w:rFonts w:ascii="宋体" w:hAnsi="宋体" w:cs="宋体"/>
          <w:color w:val="FF0000"/>
          <w:sz w:val="24"/>
          <w:szCs w:val="24"/>
          <w:highlight w:val="none"/>
        </w:rPr>
        <w:t>52885716</w:t>
      </w:r>
      <w:r>
        <w:rPr>
          <w:rFonts w:hint="eastAsia" w:ascii="宋体" w:hAnsi="宋体"/>
          <w:color w:val="FF0000"/>
          <w:sz w:val="24"/>
          <w:szCs w:val="24"/>
          <w:highlight w:val="none"/>
        </w:rPr>
        <w:t>），</w:t>
      </w:r>
      <w:r>
        <w:rPr>
          <w:rFonts w:hint="eastAsia" w:ascii="宋体" w:hAnsi="宋体"/>
          <w:color w:val="FF0000"/>
          <w:sz w:val="24"/>
          <w:szCs w:val="24"/>
          <w:highlight w:val="none"/>
          <w:lang w:val="en-US" w:eastAsia="zh-CN"/>
        </w:rPr>
        <w:t>投标人如采用邮寄方式，应充分考虑快递的时效性和不可预见性，</w:t>
      </w:r>
      <w:r>
        <w:rPr>
          <w:rFonts w:hint="eastAsia" w:ascii="宋体" w:hAnsi="宋体"/>
          <w:color w:val="FF0000"/>
          <w:sz w:val="24"/>
          <w:szCs w:val="24"/>
          <w:highlight w:val="none"/>
        </w:rPr>
        <w:t>逾期</w:t>
      </w:r>
      <w:r>
        <w:rPr>
          <w:rFonts w:hint="eastAsia" w:ascii="宋体" w:hAnsi="宋体"/>
          <w:color w:val="FF0000"/>
          <w:sz w:val="24"/>
          <w:szCs w:val="24"/>
          <w:highlight w:val="none"/>
          <w:lang w:val="en-US" w:eastAsia="zh-CN"/>
        </w:rPr>
        <w:t>的投标文件</w:t>
      </w:r>
      <w:r>
        <w:rPr>
          <w:rFonts w:hint="eastAsia" w:ascii="宋体" w:hAnsi="宋体"/>
          <w:color w:val="FF0000"/>
          <w:sz w:val="24"/>
          <w:szCs w:val="24"/>
          <w:highlight w:val="none"/>
        </w:rPr>
        <w:t>不予接收，响应供应商人员无需到达开标现场。未到达现场参与开标会的响应供应商，均视为认可本项目的开评标过程及成交结果，且事后不质疑。   </w:t>
      </w:r>
    </w:p>
    <w:p>
      <w:pPr>
        <w:spacing w:line="480" w:lineRule="exact"/>
        <w:ind w:firstLine="480" w:firstLineChars="200"/>
        <w:rPr>
          <w:rFonts w:hint="eastAsia" w:ascii="宋体" w:hAnsi="宋体"/>
          <w:color w:val="FF0000"/>
          <w:sz w:val="24"/>
          <w:szCs w:val="24"/>
          <w:highlight w:val="none"/>
        </w:rPr>
      </w:pPr>
      <w:r>
        <w:rPr>
          <w:rFonts w:hint="eastAsia" w:ascii="宋体" w:hAnsi="宋体"/>
          <w:color w:val="FF0000"/>
          <w:sz w:val="24"/>
          <w:szCs w:val="24"/>
          <w:highlight w:val="none"/>
        </w:rPr>
        <w:t>后续如疫情防控有变更，采购单位可根据最新要求以“补充公告”形式发布，请各询价响应供应商及时关注网上信息。</w:t>
      </w:r>
    </w:p>
    <w:p>
      <w:pPr>
        <w:spacing w:line="360" w:lineRule="auto"/>
        <w:ind w:firstLine="480" w:firstLineChars="200"/>
        <w:rPr>
          <w:rFonts w:ascii="宋体" w:hAnsi="宋体" w:cs="宋体"/>
          <w:sz w:val="24"/>
          <w:szCs w:val="24"/>
        </w:rPr>
      </w:pPr>
      <w:r>
        <w:rPr>
          <w:rFonts w:hint="eastAsia" w:ascii="宋体" w:hAnsi="宋体" w:cs="宋体"/>
          <w:sz w:val="24"/>
          <w:szCs w:val="24"/>
        </w:rPr>
        <w:t>十、磋商响应联系方式</w:t>
      </w:r>
    </w:p>
    <w:p>
      <w:pPr>
        <w:spacing w:line="360" w:lineRule="auto"/>
        <w:ind w:firstLine="424" w:firstLineChars="177"/>
        <w:rPr>
          <w:rFonts w:ascii="宋体" w:hAnsi="宋体" w:cs="宋体"/>
          <w:sz w:val="24"/>
          <w:szCs w:val="24"/>
        </w:rPr>
      </w:pPr>
      <w:r>
        <w:rPr>
          <w:rFonts w:hint="eastAsia" w:ascii="宋体" w:hAnsi="宋体" w:cs="宋体"/>
          <w:sz w:val="24"/>
          <w:szCs w:val="24"/>
        </w:rPr>
        <w:t>1.采购单位</w:t>
      </w:r>
    </w:p>
    <w:p>
      <w:pPr>
        <w:spacing w:line="480" w:lineRule="exact"/>
        <w:ind w:firstLine="480" w:firstLineChars="200"/>
        <w:rPr>
          <w:rFonts w:ascii="宋体" w:hAnsi="宋体" w:cs="宋体"/>
          <w:sz w:val="24"/>
          <w:szCs w:val="24"/>
        </w:rPr>
      </w:pPr>
      <w:r>
        <w:rPr>
          <w:rFonts w:hint="eastAsia" w:ascii="宋体" w:hAnsi="宋体" w:cs="宋体"/>
          <w:sz w:val="24"/>
          <w:szCs w:val="24"/>
        </w:rPr>
        <w:t>采购单位：南通市计量检定测试所</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项目联系人：高建平  </w:t>
      </w:r>
    </w:p>
    <w:p>
      <w:pPr>
        <w:spacing w:line="480" w:lineRule="exact"/>
        <w:ind w:firstLine="480" w:firstLineChars="200"/>
        <w:rPr>
          <w:rFonts w:ascii="宋体" w:hAnsi="宋体" w:cs="宋体"/>
          <w:sz w:val="24"/>
          <w:szCs w:val="24"/>
        </w:rPr>
      </w:pPr>
      <w:r>
        <w:rPr>
          <w:rFonts w:hint="eastAsia" w:ascii="宋体" w:hAnsi="宋体" w:cs="宋体"/>
          <w:sz w:val="24"/>
          <w:szCs w:val="24"/>
        </w:rPr>
        <w:t>联系电话：0513-51008708</w:t>
      </w:r>
    </w:p>
    <w:p>
      <w:pPr>
        <w:spacing w:line="360" w:lineRule="auto"/>
        <w:ind w:firstLine="424" w:firstLineChars="177"/>
        <w:rPr>
          <w:rFonts w:ascii="宋体" w:hAnsi="宋体" w:cs="宋体"/>
          <w:sz w:val="24"/>
          <w:szCs w:val="24"/>
        </w:rPr>
      </w:pPr>
      <w:r>
        <w:rPr>
          <w:rFonts w:hint="eastAsia" w:ascii="宋体" w:hAnsi="宋体" w:cs="宋体"/>
          <w:sz w:val="24"/>
          <w:szCs w:val="24"/>
        </w:rPr>
        <w:t>2.代理机构</w:t>
      </w:r>
    </w:p>
    <w:p>
      <w:pPr>
        <w:spacing w:line="360" w:lineRule="auto"/>
        <w:ind w:firstLine="424" w:firstLineChars="177"/>
        <w:rPr>
          <w:rFonts w:ascii="宋体" w:hAnsi="宋体" w:cs="宋体"/>
          <w:sz w:val="24"/>
          <w:szCs w:val="24"/>
        </w:rPr>
      </w:pPr>
      <w:r>
        <w:rPr>
          <w:rFonts w:hint="eastAsia" w:ascii="宋体" w:hAnsi="宋体" w:cs="宋体"/>
          <w:sz w:val="24"/>
          <w:szCs w:val="24"/>
        </w:rPr>
        <w:t>代理机构名称：上海申邑工程咨询有限公司；</w:t>
      </w:r>
    </w:p>
    <w:p>
      <w:pPr>
        <w:spacing w:line="360" w:lineRule="auto"/>
        <w:ind w:firstLine="424" w:firstLineChars="177"/>
        <w:rPr>
          <w:rFonts w:ascii="宋体" w:hAnsi="宋体" w:cs="宋体"/>
          <w:sz w:val="24"/>
          <w:szCs w:val="24"/>
        </w:rPr>
      </w:pPr>
      <w:r>
        <w:rPr>
          <w:rFonts w:hint="eastAsia" w:ascii="宋体" w:hAnsi="宋体" w:cs="宋体"/>
          <w:sz w:val="24"/>
          <w:szCs w:val="24"/>
        </w:rPr>
        <w:t>代理机构地址：南通市桃坞路2号友谊大厦10楼；</w:t>
      </w:r>
    </w:p>
    <w:p>
      <w:pPr>
        <w:spacing w:line="360" w:lineRule="auto"/>
        <w:ind w:firstLine="424" w:firstLineChars="177"/>
        <w:rPr>
          <w:rFonts w:ascii="宋体" w:hAnsi="宋体" w:cs="宋体"/>
          <w:sz w:val="24"/>
          <w:szCs w:val="24"/>
        </w:rPr>
      </w:pPr>
      <w:r>
        <w:rPr>
          <w:rFonts w:hint="eastAsia" w:ascii="宋体" w:hAnsi="宋体" w:cs="宋体"/>
          <w:sz w:val="24"/>
          <w:szCs w:val="24"/>
        </w:rPr>
        <w:t>代理机构联系人：顾工；</w:t>
      </w:r>
    </w:p>
    <w:p>
      <w:pPr>
        <w:spacing w:line="360" w:lineRule="auto"/>
        <w:ind w:firstLine="424" w:firstLineChars="177"/>
        <w:rPr>
          <w:rFonts w:ascii="宋体" w:hAnsi="宋体" w:cs="宋体"/>
          <w:sz w:val="24"/>
          <w:szCs w:val="24"/>
        </w:rPr>
      </w:pPr>
      <w:r>
        <w:rPr>
          <w:rFonts w:hint="eastAsia" w:ascii="宋体" w:hAnsi="宋体" w:cs="宋体"/>
          <w:sz w:val="24"/>
          <w:szCs w:val="24"/>
        </w:rPr>
        <w:t>代理单位联系电话：15152885716；</w:t>
      </w:r>
    </w:p>
    <w:p>
      <w:pPr>
        <w:spacing w:line="360" w:lineRule="auto"/>
        <w:ind w:firstLine="424" w:firstLineChars="177"/>
        <w:rPr>
          <w:rFonts w:ascii="宋体" w:hAnsi="宋体" w:cs="宋体"/>
          <w:sz w:val="24"/>
          <w:szCs w:val="24"/>
        </w:rPr>
      </w:pPr>
      <w:r>
        <w:rPr>
          <w:rFonts w:hint="eastAsia" w:ascii="宋体" w:hAnsi="宋体" w:cs="宋体"/>
          <w:sz w:val="24"/>
          <w:szCs w:val="24"/>
        </w:rPr>
        <w:t>邮箱：</w:t>
      </w:r>
      <w:r>
        <w:fldChar w:fldCharType="begin"/>
      </w:r>
      <w:r>
        <w:instrText xml:space="preserve"> HYPERLINK "mailto:1556430968@qq.com" </w:instrText>
      </w:r>
      <w:r>
        <w:fldChar w:fldCharType="separate"/>
      </w:r>
      <w:r>
        <w:rPr>
          <w:rStyle w:val="31"/>
          <w:rFonts w:hint="eastAsia" w:ascii="宋体" w:hAnsi="宋体" w:cs="宋体"/>
          <w:sz w:val="24"/>
          <w:szCs w:val="24"/>
        </w:rPr>
        <w:t>1556430968@qq.com</w:t>
      </w:r>
      <w:r>
        <w:rPr>
          <w:rStyle w:val="31"/>
          <w:rFonts w:hint="eastAsia" w:ascii="宋体" w:hAnsi="宋体" w:cs="宋体"/>
          <w:sz w:val="24"/>
          <w:szCs w:val="24"/>
        </w:rPr>
        <w:fldChar w:fldCharType="end"/>
      </w:r>
      <w:r>
        <w:rPr>
          <w:rFonts w:hint="eastAsia" w:ascii="宋体" w:hAnsi="宋体" w:cs="宋体"/>
          <w:sz w:val="24"/>
          <w:szCs w:val="24"/>
        </w:rPr>
        <w:t xml:space="preserve">。 </w:t>
      </w:r>
    </w:p>
    <w:p>
      <w:pPr>
        <w:pStyle w:val="4"/>
        <w:keepNext w:val="0"/>
        <w:keepLines w:val="0"/>
        <w:adjustRightInd w:val="0"/>
        <w:snapToGrid w:val="0"/>
        <w:spacing w:before="0" w:after="0" w:line="360" w:lineRule="auto"/>
        <w:jc w:val="right"/>
        <w:textAlignment w:val="baseline"/>
        <w:rPr>
          <w:rFonts w:ascii="宋体" w:hAnsi="宋体" w:eastAsia="宋体" w:cs="宋体"/>
          <w:b w:val="0"/>
          <w:bCs/>
          <w:sz w:val="24"/>
          <w:szCs w:val="24"/>
        </w:rPr>
      </w:pPr>
    </w:p>
    <w:p>
      <w:pPr>
        <w:pStyle w:val="4"/>
        <w:keepNext w:val="0"/>
        <w:keepLines w:val="0"/>
        <w:adjustRightInd w:val="0"/>
        <w:snapToGrid w:val="0"/>
        <w:spacing w:before="0" w:after="0" w:line="360" w:lineRule="auto"/>
        <w:jc w:val="center"/>
        <w:textAlignment w:val="baseline"/>
        <w:rPr>
          <w:rFonts w:ascii="宋体" w:hAnsi="宋体" w:eastAsia="宋体"/>
          <w:w w:val="80"/>
          <w:szCs w:val="44"/>
        </w:rPr>
      </w:pPr>
      <w:r>
        <w:rPr>
          <w:rFonts w:hint="eastAsia" w:ascii="宋体" w:hAnsi="宋体" w:eastAsia="宋体" w:cs="宋体"/>
          <w:b w:val="0"/>
          <w:bCs/>
          <w:w w:val="80"/>
          <w:sz w:val="24"/>
          <w:szCs w:val="24"/>
        </w:rPr>
        <w:br w:type="page"/>
      </w:r>
      <w:r>
        <w:rPr>
          <w:rFonts w:hint="eastAsia" w:ascii="宋体" w:hAnsi="宋体" w:eastAsia="宋体"/>
          <w:w w:val="80"/>
          <w:szCs w:val="44"/>
        </w:rPr>
        <w:t>第二章  磋商供应商须知</w:t>
      </w:r>
    </w:p>
    <w:p>
      <w:pPr>
        <w:snapToGrid w:val="0"/>
        <w:spacing w:line="360" w:lineRule="auto"/>
        <w:ind w:firstLine="480" w:firstLineChars="200"/>
        <w:outlineLvl w:val="1"/>
        <w:rPr>
          <w:rFonts w:hAnsi="宋体" w:cs="宋体"/>
          <w:b/>
          <w:bCs/>
          <w:sz w:val="24"/>
          <w:szCs w:val="24"/>
        </w:rPr>
      </w:pPr>
      <w:r>
        <w:rPr>
          <w:rFonts w:hint="eastAsia" w:hAnsi="宋体" w:cs="宋体"/>
          <w:b/>
          <w:bCs/>
          <w:sz w:val="24"/>
          <w:szCs w:val="24"/>
        </w:rPr>
        <w:t>一、说明</w:t>
      </w:r>
    </w:p>
    <w:p>
      <w:pPr>
        <w:snapToGrid w:val="0"/>
        <w:spacing w:line="360" w:lineRule="auto"/>
        <w:ind w:firstLine="480" w:firstLineChars="200"/>
        <w:rPr>
          <w:rFonts w:hAnsi="宋体" w:cs="宋体"/>
          <w:bCs/>
          <w:sz w:val="24"/>
          <w:szCs w:val="24"/>
        </w:rPr>
      </w:pPr>
      <w:r>
        <w:rPr>
          <w:rFonts w:hint="eastAsia" w:hAnsi="宋体" w:cs="宋体"/>
          <w:bCs/>
          <w:sz w:val="24"/>
          <w:szCs w:val="24"/>
        </w:rPr>
        <w:t>1</w:t>
      </w:r>
      <w:r>
        <w:rPr>
          <w:rFonts w:hint="eastAsia" w:ascii="宋体" w:hAnsi="宋体" w:cs="宋体"/>
          <w:sz w:val="24"/>
          <w:szCs w:val="24"/>
        </w:rPr>
        <w:t>.</w:t>
      </w:r>
      <w:r>
        <w:rPr>
          <w:rFonts w:hint="eastAsia" w:hAnsi="宋体" w:cs="宋体"/>
          <w:bCs/>
          <w:sz w:val="24"/>
          <w:szCs w:val="24"/>
        </w:rPr>
        <w:t>本竞争性磋商文件仅适用于采购单位组织的竞争性磋商采购活动。</w:t>
      </w:r>
    </w:p>
    <w:p>
      <w:pPr>
        <w:snapToGrid w:val="0"/>
        <w:spacing w:line="360" w:lineRule="auto"/>
        <w:ind w:firstLine="480" w:firstLineChars="200"/>
        <w:rPr>
          <w:rFonts w:hAnsi="宋体" w:cs="宋体"/>
          <w:bCs/>
          <w:sz w:val="24"/>
          <w:szCs w:val="24"/>
        </w:rPr>
      </w:pPr>
      <w:r>
        <w:rPr>
          <w:rFonts w:hint="eastAsia" w:hAnsi="宋体" w:cs="宋体"/>
          <w:bCs/>
          <w:sz w:val="24"/>
          <w:szCs w:val="24"/>
        </w:rPr>
        <w:t>2</w:t>
      </w:r>
      <w:r>
        <w:rPr>
          <w:rFonts w:hint="eastAsia" w:ascii="宋体" w:hAnsi="宋体" w:cs="宋体"/>
          <w:sz w:val="24"/>
          <w:szCs w:val="24"/>
        </w:rPr>
        <w:t>.</w:t>
      </w:r>
      <w:r>
        <w:rPr>
          <w:rFonts w:hint="eastAsia" w:hAnsi="宋体" w:cs="宋体"/>
          <w:bCs/>
          <w:sz w:val="24"/>
          <w:szCs w:val="24"/>
        </w:rPr>
        <w:t>竞争性磋商活动及因本次磋商产生的合同受中国法律制约和保护。</w:t>
      </w:r>
    </w:p>
    <w:p>
      <w:pPr>
        <w:snapToGrid w:val="0"/>
        <w:spacing w:line="360" w:lineRule="auto"/>
        <w:ind w:firstLine="480" w:firstLineChars="200"/>
        <w:rPr>
          <w:rFonts w:hAnsi="宋体" w:cs="宋体"/>
          <w:bCs/>
          <w:sz w:val="24"/>
          <w:szCs w:val="24"/>
        </w:rPr>
      </w:pPr>
      <w:r>
        <w:rPr>
          <w:rFonts w:hint="eastAsia" w:hAnsi="宋体" w:cs="宋体"/>
          <w:bCs/>
          <w:sz w:val="24"/>
          <w:szCs w:val="24"/>
        </w:rPr>
        <w:t>3</w:t>
      </w:r>
      <w:r>
        <w:rPr>
          <w:rFonts w:hint="eastAsia" w:ascii="宋体" w:hAnsi="宋体" w:cs="宋体"/>
          <w:sz w:val="24"/>
          <w:szCs w:val="24"/>
        </w:rPr>
        <w:t>.</w:t>
      </w:r>
      <w:r>
        <w:rPr>
          <w:rFonts w:hint="eastAsia" w:hAnsi="宋体" w:cs="宋体"/>
          <w:bCs/>
          <w:sz w:val="24"/>
          <w:szCs w:val="24"/>
        </w:rPr>
        <w:t>竞争性磋商文件的解释权属于采购单位。</w:t>
      </w:r>
    </w:p>
    <w:p>
      <w:pPr>
        <w:snapToGrid w:val="0"/>
        <w:spacing w:line="360" w:lineRule="auto"/>
        <w:ind w:firstLine="480" w:firstLineChars="200"/>
        <w:rPr>
          <w:rFonts w:hAnsi="宋体" w:cs="宋体"/>
          <w:sz w:val="24"/>
          <w:szCs w:val="24"/>
        </w:rPr>
      </w:pPr>
      <w:r>
        <w:rPr>
          <w:rFonts w:hint="eastAsia" w:hAnsi="宋体" w:cs="宋体"/>
          <w:sz w:val="24"/>
          <w:szCs w:val="24"/>
        </w:rPr>
        <w:t>4</w:t>
      </w:r>
      <w:r>
        <w:rPr>
          <w:rFonts w:hint="eastAsia" w:ascii="宋体" w:hAnsi="宋体" w:cs="宋体"/>
          <w:sz w:val="24"/>
          <w:szCs w:val="24"/>
        </w:rPr>
        <w:t>.</w:t>
      </w:r>
      <w:r>
        <w:rPr>
          <w:rFonts w:hint="eastAsia" w:hAnsi="宋体" w:cs="宋体"/>
          <w:bCs/>
          <w:sz w:val="24"/>
          <w:szCs w:val="24"/>
        </w:rPr>
        <w:t>供应商在知道或应当知道本项目磋商公告及磋商文件中的所有内容：如内容或页码短缺、资格要求和技术参数出现倾向性或排他性等表述的，应在本项目磋商公告及磋商文件发布后提出询问或是在发布之日后的3个工作日内以书面实名制形式提出质疑；未提出询问或是未在规定期间内提出的视作供应商接受本项目磋商公告及磋商文件中的全部内容；供应商不得在磋商采购活动期间及磋商采购活动结束后针对本项目磋商公告及磋商文件中的所有内容提出质疑事项</w:t>
      </w:r>
      <w:r>
        <w:rPr>
          <w:rFonts w:hint="eastAsia" w:hAnsi="宋体" w:cs="宋体"/>
          <w:b/>
          <w:sz w:val="24"/>
          <w:szCs w:val="24"/>
        </w:rPr>
        <w:t>。</w:t>
      </w:r>
    </w:p>
    <w:p>
      <w:pPr>
        <w:snapToGrid w:val="0"/>
        <w:spacing w:line="360" w:lineRule="auto"/>
        <w:ind w:firstLine="480" w:firstLineChars="200"/>
        <w:rPr>
          <w:rFonts w:hAnsi="宋体" w:cs="宋体"/>
          <w:sz w:val="24"/>
          <w:szCs w:val="24"/>
        </w:rPr>
      </w:pPr>
      <w:r>
        <w:rPr>
          <w:rFonts w:hint="eastAsia" w:hAnsi="宋体" w:cs="宋体"/>
          <w:sz w:val="24"/>
          <w:szCs w:val="24"/>
        </w:rPr>
        <w:t>5</w:t>
      </w:r>
      <w:r>
        <w:rPr>
          <w:rFonts w:hint="eastAsia" w:ascii="宋体" w:hAnsi="宋体" w:cs="宋体"/>
          <w:sz w:val="24"/>
          <w:szCs w:val="24"/>
        </w:rPr>
        <w:t>.</w:t>
      </w:r>
      <w:r>
        <w:rPr>
          <w:rFonts w:hint="eastAsia" w:hAnsi="宋体" w:cs="宋体"/>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hAnsi="宋体" w:cs="宋体"/>
          <w:sz w:val="24"/>
          <w:szCs w:val="24"/>
        </w:rPr>
      </w:pPr>
      <w:r>
        <w:rPr>
          <w:rFonts w:hint="eastAsia" w:hAnsi="宋体" w:cs="宋体"/>
          <w:sz w:val="24"/>
          <w:szCs w:val="24"/>
        </w:rPr>
        <w:t>6</w:t>
      </w:r>
      <w:r>
        <w:rPr>
          <w:rFonts w:hint="eastAsia" w:ascii="宋体" w:hAnsi="宋体" w:cs="宋体"/>
          <w:sz w:val="24"/>
          <w:szCs w:val="24"/>
        </w:rPr>
        <w:t>.</w:t>
      </w:r>
      <w:r>
        <w:rPr>
          <w:rFonts w:hint="eastAsia" w:hAnsi="宋体" w:cs="宋体"/>
          <w:sz w:val="24"/>
          <w:szCs w:val="24"/>
        </w:rPr>
        <w:t>供应商在磋商开始前自行踏勘现场，供应商务必自行认真踏勘现场条件，进一步获取所需信息，一旦成交不得对现场条件提出额外要求，不得要求增加费用，采购单位可视情组织答疑会。</w:t>
      </w:r>
    </w:p>
    <w:p>
      <w:pPr>
        <w:snapToGrid w:val="0"/>
        <w:spacing w:line="360" w:lineRule="auto"/>
        <w:ind w:firstLine="480" w:firstLineChars="200"/>
        <w:outlineLvl w:val="1"/>
        <w:rPr>
          <w:rFonts w:hAnsi="宋体" w:cs="宋体"/>
          <w:b/>
          <w:sz w:val="24"/>
          <w:szCs w:val="24"/>
        </w:rPr>
      </w:pPr>
      <w:r>
        <w:rPr>
          <w:rFonts w:hint="eastAsia" w:hAnsi="宋体" w:cs="宋体"/>
          <w:b/>
          <w:sz w:val="24"/>
          <w:szCs w:val="24"/>
        </w:rPr>
        <w:t>二、磋商文件的澄清、修改、答疑</w:t>
      </w:r>
    </w:p>
    <w:p>
      <w:pPr>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ascii="宋体" w:hAnsi="宋体" w:cs="宋体"/>
          <w:sz w:val="24"/>
          <w:szCs w:val="24"/>
        </w:rPr>
        <w:t>.</w:t>
      </w:r>
      <w:r>
        <w:rPr>
          <w:rFonts w:hint="eastAsia" w:hAnsi="宋体" w:cs="宋体"/>
          <w:sz w:val="24"/>
          <w:szCs w:val="24"/>
        </w:rPr>
        <w:t>代理机构有权对发出的磋商文件进行必要的澄清、修改或补充。</w:t>
      </w:r>
    </w:p>
    <w:p>
      <w:pPr>
        <w:snapToGrid w:val="0"/>
        <w:spacing w:line="360" w:lineRule="auto"/>
        <w:ind w:firstLine="480" w:firstLineChars="200"/>
        <w:jc w:val="left"/>
        <w:rPr>
          <w:rFonts w:hAnsi="宋体" w:cs="宋体"/>
          <w:sz w:val="24"/>
          <w:szCs w:val="24"/>
        </w:rPr>
      </w:pPr>
      <w:r>
        <w:rPr>
          <w:rFonts w:hint="eastAsia" w:hAnsi="宋体" w:cs="宋体"/>
          <w:sz w:val="24"/>
          <w:szCs w:val="24"/>
        </w:rPr>
        <w:t>2</w:t>
      </w:r>
      <w:r>
        <w:rPr>
          <w:rFonts w:hint="eastAsia" w:ascii="宋体" w:hAnsi="宋体" w:cs="宋体"/>
          <w:sz w:val="24"/>
          <w:szCs w:val="24"/>
        </w:rPr>
        <w:t>.</w:t>
      </w:r>
      <w:r>
        <w:rPr>
          <w:rFonts w:hint="eastAsia" w:hAnsi="宋体" w:cs="宋体"/>
          <w:sz w:val="24"/>
          <w:szCs w:val="24"/>
        </w:rPr>
        <w:t>磋商文件的澄清、修改、补充等内容均以书面明确的形式发布，并以到“南通市市场监督管理局”网站公告公示栏下载发布的信息为准。</w:t>
      </w:r>
    </w:p>
    <w:p>
      <w:pPr>
        <w:snapToGrid w:val="0"/>
        <w:spacing w:line="360" w:lineRule="auto"/>
        <w:ind w:firstLine="480" w:firstLineChars="200"/>
        <w:rPr>
          <w:rFonts w:hAnsi="宋体" w:cs="宋体"/>
          <w:sz w:val="24"/>
          <w:szCs w:val="24"/>
        </w:rPr>
      </w:pPr>
      <w:r>
        <w:rPr>
          <w:rFonts w:hint="eastAsia" w:hAnsi="宋体" w:cs="宋体"/>
          <w:sz w:val="24"/>
          <w:szCs w:val="24"/>
        </w:rPr>
        <w:t>3</w:t>
      </w:r>
      <w:r>
        <w:rPr>
          <w:rFonts w:hint="eastAsia" w:ascii="宋体" w:hAnsi="宋体" w:cs="宋体"/>
          <w:sz w:val="24"/>
          <w:szCs w:val="24"/>
        </w:rPr>
        <w:t>.</w:t>
      </w:r>
      <w:r>
        <w:rPr>
          <w:rFonts w:hint="eastAsia"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hAnsi="宋体" w:cs="宋体"/>
          <w:sz w:val="24"/>
          <w:szCs w:val="24"/>
        </w:rPr>
      </w:pPr>
      <w:r>
        <w:rPr>
          <w:rFonts w:hint="eastAsia" w:hAnsi="宋体" w:cs="宋体"/>
          <w:sz w:val="24"/>
          <w:szCs w:val="24"/>
        </w:rPr>
        <w:t>4</w:t>
      </w:r>
      <w:r>
        <w:rPr>
          <w:rFonts w:hint="eastAsia" w:ascii="宋体" w:hAnsi="宋体" w:cs="宋体"/>
          <w:sz w:val="24"/>
          <w:szCs w:val="24"/>
        </w:rPr>
        <w:t>.</w:t>
      </w:r>
      <w:r>
        <w:rPr>
          <w:rFonts w:hint="eastAsia" w:hAnsi="宋体" w:cs="宋体"/>
          <w:sz w:val="24"/>
          <w:szCs w:val="24"/>
        </w:rPr>
        <w:t>澄清或者修改的内容可能影响到响应文件编制的，代理机构将在提交响应文件接收截止之日5日前，发布澄清或者修改公告，不足5日的，当顺延提交响应文件接收截止时间。</w:t>
      </w:r>
    </w:p>
    <w:p>
      <w:pPr>
        <w:snapToGrid w:val="0"/>
        <w:spacing w:line="360" w:lineRule="auto"/>
        <w:ind w:firstLine="480" w:firstLineChars="200"/>
        <w:rPr>
          <w:rFonts w:hAnsi="宋体" w:cs="宋体"/>
          <w:sz w:val="24"/>
          <w:szCs w:val="24"/>
        </w:rPr>
      </w:pPr>
      <w:r>
        <w:rPr>
          <w:rFonts w:hint="eastAsia" w:hAnsi="宋体" w:cs="宋体"/>
          <w:sz w:val="24"/>
          <w:szCs w:val="24"/>
        </w:rPr>
        <w:t>5</w:t>
      </w:r>
      <w:r>
        <w:rPr>
          <w:rFonts w:hint="eastAsia" w:ascii="宋体" w:hAnsi="宋体" w:cs="宋体"/>
          <w:sz w:val="24"/>
          <w:szCs w:val="24"/>
        </w:rPr>
        <w:t>.</w:t>
      </w:r>
      <w:r>
        <w:rPr>
          <w:rFonts w:hint="eastAsia"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hAnsi="宋体" w:cs="宋体"/>
          <w:sz w:val="24"/>
          <w:szCs w:val="24"/>
        </w:rPr>
      </w:pPr>
      <w:r>
        <w:rPr>
          <w:rFonts w:hint="eastAsia" w:hAnsi="宋体" w:cs="宋体"/>
          <w:sz w:val="24"/>
          <w:szCs w:val="24"/>
        </w:rPr>
        <w:t>6</w:t>
      </w:r>
      <w:r>
        <w:rPr>
          <w:rFonts w:hint="eastAsia" w:ascii="宋体" w:hAnsi="宋体" w:cs="宋体"/>
          <w:sz w:val="24"/>
          <w:szCs w:val="24"/>
        </w:rPr>
        <w:t>.</w:t>
      </w:r>
      <w:r>
        <w:rPr>
          <w:rFonts w:hint="eastAsia"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0" w:firstLineChars="200"/>
        <w:outlineLvl w:val="1"/>
        <w:rPr>
          <w:rFonts w:hAnsi="宋体" w:cs="宋体"/>
          <w:b/>
          <w:sz w:val="24"/>
          <w:szCs w:val="24"/>
        </w:rPr>
      </w:pPr>
      <w:r>
        <w:rPr>
          <w:rFonts w:hint="eastAsia" w:hAnsi="宋体" w:cs="宋体"/>
          <w:b/>
          <w:sz w:val="24"/>
          <w:szCs w:val="24"/>
        </w:rPr>
        <w:t>三、响应文件的编制及装订</w:t>
      </w:r>
    </w:p>
    <w:p>
      <w:pPr>
        <w:spacing w:line="360" w:lineRule="auto"/>
        <w:ind w:firstLine="484" w:firstLineChars="202"/>
        <w:rPr>
          <w:rFonts w:hAnsi="宋体" w:cs="宋体"/>
          <w:sz w:val="24"/>
          <w:szCs w:val="24"/>
        </w:rPr>
      </w:pPr>
      <w:r>
        <w:rPr>
          <w:rFonts w:hint="eastAsia" w:hAnsi="宋体" w:cs="宋体"/>
          <w:sz w:val="24"/>
          <w:szCs w:val="24"/>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0" w:firstLineChars="200"/>
        <w:outlineLvl w:val="1"/>
        <w:rPr>
          <w:rFonts w:hAnsi="宋体" w:cs="宋体"/>
          <w:b/>
          <w:bCs/>
          <w:sz w:val="24"/>
          <w:szCs w:val="24"/>
        </w:rPr>
      </w:pPr>
      <w:r>
        <w:rPr>
          <w:rFonts w:hint="eastAsia" w:hAnsi="宋体" w:cs="宋体"/>
          <w:b/>
          <w:bCs/>
          <w:sz w:val="24"/>
          <w:szCs w:val="24"/>
        </w:rPr>
        <w:t>四、响应文件的份数和签署</w:t>
      </w:r>
    </w:p>
    <w:p>
      <w:pPr>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ascii="宋体" w:hAnsi="宋体" w:cs="宋体"/>
          <w:sz w:val="24"/>
          <w:szCs w:val="24"/>
        </w:rPr>
        <w:t>.</w:t>
      </w:r>
      <w:r>
        <w:rPr>
          <w:rFonts w:hint="eastAsia" w:hAnsi="宋体" w:cs="宋体"/>
          <w:sz w:val="24"/>
          <w:szCs w:val="24"/>
        </w:rPr>
        <w:t>响应文件由：</w:t>
      </w:r>
      <w:r>
        <w:rPr>
          <w:rFonts w:hint="eastAsia" w:ascii="宋体" w:hAnsi="宋体" w:cs="宋体"/>
          <w:sz w:val="24"/>
          <w:szCs w:val="24"/>
        </w:rPr>
        <w:t>①资格审查文件、②技</w:t>
      </w:r>
      <w:r>
        <w:rPr>
          <w:rFonts w:hint="eastAsia" w:hAnsi="宋体" w:cs="宋体"/>
          <w:sz w:val="24"/>
          <w:szCs w:val="24"/>
        </w:rPr>
        <w:t>术响应文件</w:t>
      </w:r>
      <w:r>
        <w:rPr>
          <w:rFonts w:hint="eastAsia" w:ascii="宋体" w:hAnsi="宋体" w:cs="宋体"/>
          <w:sz w:val="24"/>
          <w:szCs w:val="24"/>
        </w:rPr>
        <w:t>、③</w:t>
      </w:r>
      <w:r>
        <w:rPr>
          <w:rFonts w:hint="eastAsia" w:hAnsi="宋体" w:cs="宋体"/>
          <w:sz w:val="24"/>
          <w:szCs w:val="24"/>
        </w:rPr>
        <w:t>商务报价响应文件、</w:t>
      </w:r>
      <w:r>
        <w:rPr>
          <w:rFonts w:hint="eastAsia" w:ascii="宋体" w:hAnsi="宋体" w:cs="宋体"/>
          <w:sz w:val="24"/>
          <w:szCs w:val="24"/>
        </w:rPr>
        <w:t>④</w:t>
      </w:r>
      <w:r>
        <w:rPr>
          <w:rFonts w:hint="eastAsia" w:hAnsi="宋体" w:cs="宋体"/>
          <w:sz w:val="24"/>
          <w:szCs w:val="24"/>
        </w:rPr>
        <w:t>电子版U盘共4部分组成（以下由文件序号代称）。</w:t>
      </w:r>
    </w:p>
    <w:p>
      <w:pPr>
        <w:snapToGrid w:val="0"/>
        <w:spacing w:line="360" w:lineRule="auto"/>
        <w:ind w:firstLine="480" w:firstLineChars="200"/>
        <w:rPr>
          <w:rFonts w:hAnsi="宋体" w:cs="宋体"/>
          <w:b/>
          <w:sz w:val="24"/>
          <w:szCs w:val="24"/>
          <w:u w:val="single"/>
        </w:rPr>
      </w:pPr>
      <w:r>
        <w:rPr>
          <w:rFonts w:hint="eastAsia" w:hAnsi="宋体" w:cs="宋体"/>
          <w:sz w:val="24"/>
          <w:szCs w:val="24"/>
        </w:rPr>
        <w:t>2</w:t>
      </w:r>
      <w:r>
        <w:rPr>
          <w:rFonts w:hint="eastAsia" w:ascii="宋体" w:hAnsi="宋体" w:cs="宋体"/>
          <w:sz w:val="24"/>
          <w:szCs w:val="24"/>
        </w:rPr>
        <w:t>.</w:t>
      </w:r>
      <w:r>
        <w:rPr>
          <w:rFonts w:hint="eastAsia" w:hAnsi="宋体" w:cs="宋体"/>
          <w:sz w:val="24"/>
          <w:szCs w:val="24"/>
        </w:rPr>
        <w:t>磋商响文件中，除</w:t>
      </w:r>
      <w:r>
        <w:rPr>
          <w:rFonts w:hint="eastAsia" w:ascii="宋体" w:hAnsi="宋体"/>
          <w:sz w:val="24"/>
          <w:szCs w:val="24"/>
        </w:rPr>
        <w:t>【</w:t>
      </w:r>
      <w:r>
        <w:rPr>
          <w:rFonts w:hint="eastAsia" w:ascii="宋体" w:hAnsi="宋体" w:cs="宋体"/>
          <w:sz w:val="24"/>
          <w:szCs w:val="24"/>
        </w:rPr>
        <w:t>④</w:t>
      </w:r>
      <w:r>
        <w:rPr>
          <w:rFonts w:hint="eastAsia" w:hAnsi="宋体" w:cs="宋体"/>
          <w:sz w:val="24"/>
          <w:szCs w:val="24"/>
        </w:rPr>
        <w:t>电子版U盘</w:t>
      </w:r>
      <w:r>
        <w:rPr>
          <w:rFonts w:hint="eastAsia" w:ascii="宋体" w:hAnsi="宋体"/>
          <w:sz w:val="24"/>
          <w:szCs w:val="24"/>
        </w:rPr>
        <w:t>】外的其余</w:t>
      </w:r>
      <w:r>
        <w:rPr>
          <w:rFonts w:hint="eastAsia" w:hAnsi="宋体" w:cs="宋体"/>
          <w:sz w:val="24"/>
          <w:szCs w:val="24"/>
        </w:rPr>
        <w:t>响应文件均为一式叁份，其中“正本”壹份和“副本”贰份。</w:t>
      </w:r>
    </w:p>
    <w:p>
      <w:pPr>
        <w:snapToGrid w:val="0"/>
        <w:spacing w:line="360" w:lineRule="auto"/>
        <w:ind w:firstLine="470" w:firstLineChars="196"/>
        <w:rPr>
          <w:rFonts w:hAnsi="宋体" w:cs="宋体"/>
          <w:sz w:val="24"/>
          <w:szCs w:val="24"/>
        </w:rPr>
      </w:pPr>
      <w:r>
        <w:rPr>
          <w:rFonts w:hint="eastAsia" w:hAnsi="宋体" w:cs="宋体"/>
          <w:sz w:val="24"/>
          <w:szCs w:val="24"/>
        </w:rPr>
        <w:t>3</w:t>
      </w:r>
      <w:r>
        <w:rPr>
          <w:rFonts w:hint="eastAsia" w:ascii="宋体" w:hAnsi="宋体" w:cs="宋体"/>
          <w:sz w:val="24"/>
          <w:szCs w:val="24"/>
        </w:rPr>
        <w:t>.</w:t>
      </w:r>
      <w:r>
        <w:rPr>
          <w:rFonts w:hint="eastAsia" w:hAnsi="宋体" w:cs="宋体"/>
          <w:sz w:val="24"/>
          <w:szCs w:val="24"/>
        </w:rPr>
        <w:t>在每份响应文件上要明确标注项目名称、对应的响应文件名称、供应商的全称、日期、“正本”、“副本”字样。“正本”和“副本”若有差异，概以“正本”为准。</w:t>
      </w:r>
    </w:p>
    <w:p>
      <w:pPr>
        <w:snapToGrid w:val="0"/>
        <w:spacing w:line="360" w:lineRule="auto"/>
        <w:ind w:firstLine="470" w:firstLineChars="196"/>
        <w:rPr>
          <w:rFonts w:hAnsi="宋体" w:cs="宋体"/>
          <w:sz w:val="24"/>
          <w:szCs w:val="24"/>
        </w:rPr>
      </w:pPr>
      <w:r>
        <w:rPr>
          <w:rFonts w:hint="eastAsia" w:hAnsi="宋体" w:cs="宋体"/>
          <w:sz w:val="24"/>
          <w:szCs w:val="24"/>
        </w:rPr>
        <w:t>4</w:t>
      </w:r>
      <w:r>
        <w:rPr>
          <w:rFonts w:hint="eastAsia" w:ascii="宋体" w:hAnsi="宋体" w:cs="宋体"/>
          <w:sz w:val="24"/>
          <w:szCs w:val="24"/>
        </w:rPr>
        <w:t>.</w:t>
      </w:r>
      <w:r>
        <w:rPr>
          <w:rFonts w:hint="eastAsia"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hAnsi="宋体" w:cs="宋体"/>
          <w:sz w:val="24"/>
          <w:szCs w:val="24"/>
        </w:rPr>
      </w:pPr>
      <w:r>
        <w:rPr>
          <w:rFonts w:hint="eastAsia" w:hAnsi="宋体" w:cs="宋体"/>
          <w:sz w:val="24"/>
          <w:szCs w:val="24"/>
        </w:rPr>
        <w:t>5</w:t>
      </w:r>
      <w:r>
        <w:rPr>
          <w:rFonts w:hint="eastAsia" w:ascii="宋体" w:hAnsi="宋体" w:cs="宋体"/>
          <w:sz w:val="24"/>
          <w:szCs w:val="24"/>
        </w:rPr>
        <w:t>.</w:t>
      </w:r>
      <w:r>
        <w:rPr>
          <w:rFonts w:hint="eastAsia" w:hAnsi="宋体" w:cs="宋体"/>
          <w:sz w:val="24"/>
          <w:szCs w:val="24"/>
        </w:rPr>
        <w:t>响应文件中的所有“正本”，其正文内容须按磋商文件要求由供应商法定代表人或被授权人签字（或盖章）并加盖单位公章。“副本”可复印，但须加盖单位公章。</w:t>
      </w:r>
    </w:p>
    <w:p>
      <w:pPr>
        <w:tabs>
          <w:tab w:val="left" w:pos="720"/>
        </w:tabs>
        <w:spacing w:line="360" w:lineRule="auto"/>
        <w:ind w:firstLine="480" w:firstLineChars="200"/>
        <w:outlineLvl w:val="2"/>
        <w:rPr>
          <w:rFonts w:hAnsi="宋体" w:cs="宋体"/>
          <w:sz w:val="24"/>
          <w:szCs w:val="24"/>
        </w:rPr>
      </w:pPr>
      <w:r>
        <w:rPr>
          <w:rFonts w:hint="eastAsia" w:hAnsi="宋体" w:cs="宋体"/>
          <w:sz w:val="24"/>
          <w:szCs w:val="24"/>
        </w:rPr>
        <w:t>6、电子版为有签字盖章的PDF文件。内容包括：所有投标文件的资格证明材料审查文件、价格标文件、技术文件。</w:t>
      </w:r>
    </w:p>
    <w:p>
      <w:pPr>
        <w:snapToGrid w:val="0"/>
        <w:spacing w:line="360" w:lineRule="auto"/>
        <w:ind w:firstLine="470" w:firstLineChars="196"/>
        <w:rPr>
          <w:rFonts w:hAnsi="宋体" w:cs="宋体"/>
          <w:b/>
          <w:bCs/>
          <w:sz w:val="24"/>
          <w:szCs w:val="24"/>
        </w:rPr>
      </w:pPr>
      <w:r>
        <w:rPr>
          <w:rFonts w:hint="eastAsia" w:hAnsi="宋体" w:cs="宋体"/>
          <w:b/>
          <w:bCs/>
          <w:sz w:val="24"/>
          <w:szCs w:val="24"/>
        </w:rPr>
        <w:t>五、响应文件的密封及标记</w:t>
      </w:r>
    </w:p>
    <w:p>
      <w:pPr>
        <w:snapToGrid w:val="0"/>
        <w:spacing w:line="360" w:lineRule="auto"/>
        <w:ind w:firstLine="480" w:firstLineChars="200"/>
        <w:rPr>
          <w:rFonts w:hAnsi="宋体" w:cs="宋体"/>
          <w:sz w:val="24"/>
          <w:szCs w:val="24"/>
          <w:u w:val="single"/>
        </w:rPr>
      </w:pPr>
      <w:r>
        <w:rPr>
          <w:rFonts w:hint="eastAsia" w:hAnsi="宋体" w:cs="宋体"/>
          <w:sz w:val="24"/>
          <w:szCs w:val="24"/>
        </w:rPr>
        <w:t>1</w:t>
      </w:r>
      <w:r>
        <w:rPr>
          <w:rFonts w:hint="eastAsia" w:ascii="宋体" w:hAnsi="宋体" w:cs="宋体"/>
          <w:sz w:val="24"/>
          <w:szCs w:val="24"/>
        </w:rPr>
        <w:t>.</w:t>
      </w:r>
      <w:r>
        <w:rPr>
          <w:rFonts w:hint="eastAsia" w:hAnsi="宋体" w:cs="宋体"/>
          <w:sz w:val="24"/>
          <w:szCs w:val="24"/>
        </w:rPr>
        <w:t>供应商须将本项目响应文件：</w:t>
      </w:r>
      <w:r>
        <w:rPr>
          <w:rFonts w:hint="eastAsia" w:hAnsi="宋体" w:cs="宋体"/>
          <w:sz w:val="24"/>
          <w:szCs w:val="24"/>
        </w:rPr>
        <w:fldChar w:fldCharType="begin"/>
      </w:r>
      <w:r>
        <w:rPr>
          <w:rFonts w:hint="eastAsia" w:hAnsi="宋体" w:cs="宋体"/>
          <w:sz w:val="24"/>
          <w:szCs w:val="24"/>
        </w:rPr>
        <w:instrText xml:space="preserve"> = 1 \* GB3 </w:instrText>
      </w:r>
      <w:r>
        <w:rPr>
          <w:rFonts w:hint="eastAsia" w:hAnsi="宋体" w:cs="宋体"/>
          <w:sz w:val="24"/>
          <w:szCs w:val="24"/>
        </w:rPr>
        <w:fldChar w:fldCharType="separate"/>
      </w:r>
      <w:r>
        <w:rPr>
          <w:rFonts w:hint="eastAsia" w:hAnsi="宋体" w:cs="宋体"/>
          <w:sz w:val="24"/>
          <w:szCs w:val="24"/>
        </w:rPr>
        <w:t>①</w:t>
      </w:r>
      <w:r>
        <w:rPr>
          <w:rFonts w:hint="eastAsia" w:hAnsi="宋体" w:cs="宋体"/>
          <w:sz w:val="24"/>
          <w:szCs w:val="24"/>
        </w:rPr>
        <w:fldChar w:fldCharType="end"/>
      </w:r>
      <w:r>
        <w:rPr>
          <w:rFonts w:hint="eastAsia" w:hAnsi="宋体" w:cs="宋体"/>
          <w:sz w:val="24"/>
          <w:szCs w:val="24"/>
        </w:rPr>
        <w:t>、</w:t>
      </w:r>
      <w:r>
        <w:rPr>
          <w:rFonts w:hint="eastAsia" w:hAnsi="宋体" w:cs="宋体"/>
          <w:sz w:val="24"/>
          <w:szCs w:val="24"/>
        </w:rPr>
        <w:fldChar w:fldCharType="begin"/>
      </w:r>
      <w:r>
        <w:rPr>
          <w:rFonts w:hint="eastAsia" w:hAnsi="宋体" w:cs="宋体"/>
          <w:sz w:val="24"/>
          <w:szCs w:val="24"/>
        </w:rPr>
        <w:instrText xml:space="preserve"> = 2 \* GB3 </w:instrText>
      </w:r>
      <w:r>
        <w:rPr>
          <w:rFonts w:hint="eastAsia" w:hAnsi="宋体" w:cs="宋体"/>
          <w:sz w:val="24"/>
          <w:szCs w:val="24"/>
        </w:rPr>
        <w:fldChar w:fldCharType="separate"/>
      </w:r>
      <w:r>
        <w:rPr>
          <w:rFonts w:hint="eastAsia" w:hAnsi="宋体" w:cs="宋体"/>
          <w:sz w:val="24"/>
          <w:szCs w:val="24"/>
        </w:rPr>
        <w:t>②</w:t>
      </w:r>
      <w:r>
        <w:rPr>
          <w:rFonts w:hint="eastAsia" w:hAnsi="宋体" w:cs="宋体"/>
          <w:sz w:val="24"/>
          <w:szCs w:val="24"/>
        </w:rPr>
        <w:fldChar w:fldCharType="end"/>
      </w:r>
      <w:r>
        <w:rPr>
          <w:rFonts w:hint="eastAsia" w:hAnsi="宋体" w:cs="宋体"/>
          <w:sz w:val="24"/>
          <w:szCs w:val="24"/>
        </w:rPr>
        <w:t>、</w:t>
      </w:r>
      <w:r>
        <w:rPr>
          <w:rFonts w:hAnsi="宋体" w:cs="宋体"/>
          <w:sz w:val="24"/>
          <w:szCs w:val="24"/>
        </w:rPr>
        <w:fldChar w:fldCharType="begin"/>
      </w:r>
      <w:r>
        <w:rPr>
          <w:rFonts w:hint="eastAsia" w:hAnsi="宋体" w:cs="宋体"/>
          <w:sz w:val="24"/>
          <w:szCs w:val="24"/>
        </w:rPr>
        <w:instrText xml:space="preserve">= 3 \* GB3</w:instrText>
      </w:r>
      <w:r>
        <w:rPr>
          <w:rFonts w:hAnsi="宋体" w:cs="宋体"/>
          <w:sz w:val="24"/>
          <w:szCs w:val="24"/>
        </w:rPr>
        <w:fldChar w:fldCharType="separate"/>
      </w:r>
      <w:r>
        <w:rPr>
          <w:rFonts w:hint="eastAsia" w:hAnsi="宋体" w:cs="宋体"/>
          <w:sz w:val="24"/>
          <w:szCs w:val="24"/>
        </w:rPr>
        <w:t>③</w:t>
      </w:r>
      <w:r>
        <w:rPr>
          <w:rFonts w:hAnsi="宋体" w:cs="宋体"/>
          <w:sz w:val="24"/>
          <w:szCs w:val="24"/>
        </w:rPr>
        <w:fldChar w:fldCharType="end"/>
      </w:r>
      <w:r>
        <w:rPr>
          <w:rFonts w:hint="eastAsia" w:hAnsi="宋体" w:cs="宋体"/>
          <w:sz w:val="24"/>
          <w:szCs w:val="24"/>
        </w:rPr>
        <w:t>、</w:t>
      </w:r>
      <w:r>
        <w:rPr>
          <w:rFonts w:hint="eastAsia" w:ascii="宋体" w:hAnsi="宋体" w:cs="宋体"/>
          <w:sz w:val="24"/>
          <w:szCs w:val="24"/>
        </w:rPr>
        <w:t>④</w:t>
      </w:r>
      <w:r>
        <w:rPr>
          <w:rFonts w:hint="eastAsia" w:hAnsi="宋体" w:cs="宋体"/>
          <w:b/>
          <w:sz w:val="24"/>
          <w:szCs w:val="24"/>
        </w:rPr>
        <w:t>单独密封</w:t>
      </w:r>
      <w:r>
        <w:rPr>
          <w:rFonts w:hint="eastAsia" w:hAnsi="宋体" w:cs="宋体"/>
          <w:sz w:val="24"/>
          <w:szCs w:val="24"/>
        </w:rPr>
        <w:t>。</w:t>
      </w:r>
    </w:p>
    <w:p>
      <w:pPr>
        <w:snapToGrid w:val="0"/>
        <w:spacing w:line="360" w:lineRule="auto"/>
        <w:ind w:firstLine="480" w:firstLineChars="200"/>
        <w:rPr>
          <w:rFonts w:hAnsi="宋体" w:cs="宋体"/>
          <w:sz w:val="24"/>
          <w:szCs w:val="24"/>
        </w:rPr>
      </w:pPr>
      <w:r>
        <w:rPr>
          <w:rFonts w:hint="eastAsia" w:hAnsi="宋体" w:cs="宋体"/>
          <w:sz w:val="24"/>
          <w:szCs w:val="24"/>
        </w:rPr>
        <w:t>2</w:t>
      </w:r>
      <w:r>
        <w:rPr>
          <w:rFonts w:hint="eastAsia" w:ascii="宋体" w:hAnsi="宋体" w:cs="宋体"/>
          <w:sz w:val="24"/>
          <w:szCs w:val="24"/>
        </w:rPr>
        <w:t>.</w:t>
      </w:r>
      <w:r>
        <w:rPr>
          <w:rFonts w:hint="eastAsia" w:hAnsi="宋体" w:cs="宋体"/>
          <w:sz w:val="24"/>
          <w:szCs w:val="24"/>
        </w:rPr>
        <w:t>密封后，应在每一密封的响应文件上明确标注磋商项目名称、响应文件各自对应的名称、供应商的全称及日期。</w:t>
      </w:r>
    </w:p>
    <w:p>
      <w:pPr>
        <w:snapToGrid w:val="0"/>
        <w:spacing w:line="360" w:lineRule="auto"/>
        <w:ind w:firstLine="480" w:firstLineChars="200"/>
        <w:rPr>
          <w:rFonts w:hAnsi="宋体" w:cs="宋体"/>
          <w:sz w:val="24"/>
          <w:szCs w:val="24"/>
        </w:rPr>
      </w:pPr>
      <w:r>
        <w:rPr>
          <w:rFonts w:hint="eastAsia" w:hAnsi="宋体" w:cs="宋体"/>
          <w:sz w:val="24"/>
          <w:szCs w:val="24"/>
        </w:rPr>
        <w:t>3</w:t>
      </w:r>
      <w:r>
        <w:rPr>
          <w:rFonts w:hint="eastAsia" w:ascii="宋体" w:hAnsi="宋体" w:cs="宋体"/>
          <w:sz w:val="24"/>
          <w:szCs w:val="24"/>
        </w:rPr>
        <w:t>.</w:t>
      </w:r>
      <w:r>
        <w:rPr>
          <w:rFonts w:hint="eastAsia" w:hAnsi="宋体" w:cs="宋体"/>
          <w:sz w:val="24"/>
          <w:szCs w:val="24"/>
        </w:rPr>
        <w:t>在边缝处加盖供应商公章或骑缝签字。</w:t>
      </w:r>
    </w:p>
    <w:p>
      <w:pPr>
        <w:snapToGrid w:val="0"/>
        <w:spacing w:line="360" w:lineRule="auto"/>
        <w:ind w:firstLine="480" w:firstLineChars="200"/>
        <w:rPr>
          <w:rFonts w:hAnsi="宋体" w:cs="宋体"/>
          <w:sz w:val="24"/>
          <w:szCs w:val="24"/>
        </w:rPr>
      </w:pPr>
      <w:r>
        <w:rPr>
          <w:rFonts w:hint="eastAsia" w:hAnsi="宋体" w:cs="宋体"/>
          <w:b/>
          <w:sz w:val="24"/>
          <w:szCs w:val="24"/>
        </w:rPr>
        <w:t>【特别提醒】</w:t>
      </w:r>
      <w:r>
        <w:rPr>
          <w:rFonts w:hint="eastAsia" w:hAnsi="宋体" w:cs="宋体"/>
          <w:sz w:val="24"/>
          <w:szCs w:val="24"/>
        </w:rPr>
        <w:t>响应文件中的</w:t>
      </w:r>
      <w:r>
        <w:rPr>
          <w:rFonts w:hint="eastAsia" w:hAnsi="宋体" w:cs="宋体"/>
          <w:sz w:val="24"/>
          <w:szCs w:val="24"/>
        </w:rPr>
        <w:fldChar w:fldCharType="begin"/>
      </w:r>
      <w:r>
        <w:rPr>
          <w:rFonts w:hint="eastAsia" w:hAnsi="宋体" w:cs="宋体"/>
          <w:sz w:val="24"/>
          <w:szCs w:val="24"/>
        </w:rPr>
        <w:instrText xml:space="preserve"> = 1 \* GB3 </w:instrText>
      </w:r>
      <w:r>
        <w:rPr>
          <w:rFonts w:hint="eastAsia" w:hAnsi="宋体" w:cs="宋体"/>
          <w:sz w:val="24"/>
          <w:szCs w:val="24"/>
        </w:rPr>
        <w:fldChar w:fldCharType="separate"/>
      </w:r>
      <w:r>
        <w:rPr>
          <w:rFonts w:hint="eastAsia" w:hAnsi="宋体" w:cs="宋体"/>
          <w:sz w:val="24"/>
          <w:szCs w:val="24"/>
        </w:rPr>
        <w:t>①</w:t>
      </w:r>
      <w:r>
        <w:rPr>
          <w:rFonts w:hint="eastAsia" w:hAnsi="宋体" w:cs="宋体"/>
          <w:sz w:val="24"/>
          <w:szCs w:val="24"/>
        </w:rPr>
        <w:fldChar w:fldCharType="end"/>
      </w:r>
      <w:r>
        <w:rPr>
          <w:rFonts w:hint="eastAsia" w:hAnsi="宋体" w:cs="宋体"/>
          <w:sz w:val="24"/>
          <w:szCs w:val="24"/>
        </w:rPr>
        <w:t>和</w:t>
      </w:r>
      <w:r>
        <w:rPr>
          <w:rFonts w:hint="eastAsia" w:hAnsi="宋体" w:cs="宋体"/>
          <w:sz w:val="24"/>
          <w:szCs w:val="24"/>
        </w:rPr>
        <w:fldChar w:fldCharType="begin"/>
      </w:r>
      <w:r>
        <w:rPr>
          <w:rFonts w:hint="eastAsia" w:hAnsi="宋体" w:cs="宋体"/>
          <w:sz w:val="24"/>
          <w:szCs w:val="24"/>
        </w:rPr>
        <w:instrText xml:space="preserve"> = 2 \* GB3 </w:instrText>
      </w:r>
      <w:r>
        <w:rPr>
          <w:rFonts w:hint="eastAsia" w:hAnsi="宋体" w:cs="宋体"/>
          <w:sz w:val="24"/>
          <w:szCs w:val="24"/>
        </w:rPr>
        <w:fldChar w:fldCharType="separate"/>
      </w:r>
      <w:r>
        <w:rPr>
          <w:rFonts w:hint="eastAsia" w:hAnsi="宋体" w:cs="宋体"/>
          <w:sz w:val="24"/>
          <w:szCs w:val="24"/>
        </w:rPr>
        <w:t>②</w:t>
      </w:r>
      <w:r>
        <w:rPr>
          <w:rFonts w:hint="eastAsia" w:hAnsi="宋体" w:cs="宋体"/>
          <w:sz w:val="24"/>
          <w:szCs w:val="24"/>
        </w:rPr>
        <w:fldChar w:fldCharType="end"/>
      </w:r>
      <w:r>
        <w:rPr>
          <w:rFonts w:hint="eastAsia" w:hAnsi="宋体" w:cs="宋体"/>
          <w:sz w:val="24"/>
          <w:szCs w:val="24"/>
        </w:rPr>
        <w:t>的“正本”或“副本”中，均不得含有商务报价响应文件中报价总表、报价明细表内的任何项目价格，否则作无效磋商处理。</w:t>
      </w:r>
    </w:p>
    <w:p>
      <w:pPr>
        <w:snapToGrid w:val="0"/>
        <w:spacing w:line="360" w:lineRule="auto"/>
        <w:ind w:firstLine="494" w:firstLineChars="206"/>
        <w:outlineLvl w:val="1"/>
        <w:rPr>
          <w:rFonts w:hAnsi="宋体" w:cs="宋体"/>
          <w:sz w:val="24"/>
          <w:szCs w:val="24"/>
        </w:rPr>
      </w:pPr>
      <w:r>
        <w:rPr>
          <w:rFonts w:hint="eastAsia" w:hAnsi="宋体" w:cs="宋体"/>
          <w:b/>
          <w:bCs/>
          <w:sz w:val="24"/>
          <w:szCs w:val="24"/>
        </w:rPr>
        <w:t>六、磋商报价</w:t>
      </w:r>
    </w:p>
    <w:p>
      <w:pPr>
        <w:snapToGrid w:val="0"/>
        <w:spacing w:line="360" w:lineRule="auto"/>
        <w:ind w:firstLine="494" w:firstLineChars="206"/>
        <w:rPr>
          <w:rFonts w:ascii="宋体" w:hAnsi="宋体"/>
          <w:sz w:val="24"/>
          <w:szCs w:val="24"/>
        </w:rPr>
      </w:pPr>
      <w:r>
        <w:rPr>
          <w:rFonts w:hint="eastAsia" w:ascii="宋体" w:hAnsi="宋体"/>
          <w:sz w:val="24"/>
          <w:szCs w:val="24"/>
        </w:rPr>
        <w:t>1</w:t>
      </w:r>
      <w:r>
        <w:rPr>
          <w:rFonts w:hint="eastAsia" w:ascii="宋体" w:hAnsi="宋体" w:cs="宋体"/>
          <w:sz w:val="24"/>
          <w:szCs w:val="24"/>
        </w:rPr>
        <w:t>.</w:t>
      </w:r>
      <w:r>
        <w:rPr>
          <w:rFonts w:hint="eastAsia" w:ascii="宋体" w:hAnsi="宋体"/>
          <w:sz w:val="24"/>
          <w:szCs w:val="24"/>
        </w:rPr>
        <w:t>本项目不接受任何有选择的报价。</w:t>
      </w:r>
    </w:p>
    <w:p>
      <w:pPr>
        <w:snapToGrid w:val="0"/>
        <w:spacing w:line="360" w:lineRule="auto"/>
        <w:ind w:firstLine="494" w:firstLineChars="206"/>
        <w:rPr>
          <w:rFonts w:ascii="宋体" w:hAnsi="宋体"/>
          <w:sz w:val="24"/>
          <w:szCs w:val="24"/>
        </w:rPr>
      </w:pPr>
      <w:r>
        <w:rPr>
          <w:rFonts w:hint="eastAsia" w:ascii="宋体" w:hAnsi="宋体"/>
          <w:sz w:val="24"/>
          <w:szCs w:val="24"/>
        </w:rPr>
        <w:t>2</w:t>
      </w:r>
      <w:r>
        <w:rPr>
          <w:rFonts w:hint="eastAsia" w:ascii="宋体" w:hAnsi="宋体" w:cs="宋体"/>
          <w:sz w:val="24"/>
          <w:szCs w:val="24"/>
        </w:rPr>
        <w:t>.</w:t>
      </w:r>
      <w:r>
        <w:rPr>
          <w:rFonts w:hint="eastAsia" w:ascii="宋体" w:hAnsi="宋体"/>
          <w:sz w:val="24"/>
          <w:szCs w:val="24"/>
        </w:rPr>
        <w:t>磋商报价均以人民币为报价的货币单位。</w:t>
      </w:r>
    </w:p>
    <w:p>
      <w:pPr>
        <w:snapToGrid w:val="0"/>
        <w:spacing w:line="360" w:lineRule="auto"/>
        <w:ind w:firstLine="494" w:firstLineChars="206"/>
        <w:rPr>
          <w:rFonts w:ascii="宋体" w:hAnsi="宋体"/>
          <w:sz w:val="24"/>
          <w:szCs w:val="24"/>
        </w:rPr>
      </w:pPr>
      <w:r>
        <w:rPr>
          <w:rFonts w:ascii="宋体" w:hAnsi="宋体"/>
          <w:sz w:val="24"/>
          <w:szCs w:val="24"/>
        </w:rPr>
        <w:t>3</w:t>
      </w:r>
      <w:r>
        <w:rPr>
          <w:rFonts w:hint="eastAsia" w:ascii="宋体" w:hAnsi="宋体" w:cs="宋体"/>
          <w:sz w:val="24"/>
          <w:szCs w:val="24"/>
        </w:rPr>
        <w:t>.</w:t>
      </w:r>
      <w:r>
        <w:rPr>
          <w:rFonts w:hint="eastAsia" w:ascii="宋体" w:hAnsi="宋体"/>
          <w:sz w:val="24"/>
          <w:szCs w:val="24"/>
        </w:rPr>
        <w:t>报价表必须加盖供应商公章且必须经法定代表人或授权委托人签署。</w:t>
      </w:r>
    </w:p>
    <w:p>
      <w:pPr>
        <w:snapToGrid w:val="0"/>
        <w:spacing w:line="360" w:lineRule="auto"/>
        <w:ind w:firstLine="494" w:firstLineChars="206"/>
        <w:rPr>
          <w:rFonts w:ascii="宋体" w:hAnsi="宋体"/>
          <w:sz w:val="24"/>
          <w:szCs w:val="24"/>
        </w:rPr>
      </w:pPr>
      <w:r>
        <w:rPr>
          <w:rFonts w:ascii="宋体" w:hAnsi="宋体"/>
          <w:sz w:val="24"/>
          <w:szCs w:val="24"/>
        </w:rPr>
        <w:t>4</w:t>
      </w:r>
      <w:r>
        <w:rPr>
          <w:rFonts w:hint="eastAsia" w:ascii="宋体" w:hAnsi="宋体" w:cs="宋体"/>
          <w:sz w:val="24"/>
          <w:szCs w:val="24"/>
        </w:rPr>
        <w:t>.</w:t>
      </w:r>
      <w:r>
        <w:rPr>
          <w:rFonts w:hint="eastAsia" w:ascii="宋体" w:hAnsi="宋体"/>
          <w:sz w:val="24"/>
          <w:szCs w:val="24"/>
        </w:rPr>
        <w:t>磋商响应文件中的报价总表内容与报价明细表不一致的，以报价总表为准；报价文件中涉及大写金额和小写金额不一致的，以大写金额为准；总价金额与按单价汇总金额不一致的，以单价金额计算结果为准；单价金额小数点有明显错位的，应以总价为准，并修改单价。</w:t>
      </w:r>
    </w:p>
    <w:p>
      <w:pPr>
        <w:snapToGrid w:val="0"/>
        <w:spacing w:line="360" w:lineRule="auto"/>
        <w:ind w:firstLine="494" w:firstLineChars="206"/>
        <w:rPr>
          <w:rFonts w:ascii="宋体" w:hAnsi="宋体"/>
          <w:sz w:val="24"/>
          <w:szCs w:val="24"/>
        </w:rPr>
      </w:pPr>
      <w:r>
        <w:rPr>
          <w:rFonts w:hint="eastAsia" w:ascii="宋体" w:hAnsi="宋体"/>
          <w:sz w:val="24"/>
          <w:szCs w:val="24"/>
        </w:rPr>
        <w:t>5</w:t>
      </w:r>
      <w:r>
        <w:rPr>
          <w:rFonts w:hint="eastAsia" w:ascii="宋体" w:hAnsi="宋体" w:cs="宋体"/>
          <w:sz w:val="24"/>
          <w:szCs w:val="24"/>
        </w:rPr>
        <w:t>.</w:t>
      </w:r>
      <w:r>
        <w:rPr>
          <w:rFonts w:hint="eastAsia" w:ascii="宋体" w:hAnsi="宋体"/>
          <w:sz w:val="24"/>
          <w:szCs w:val="24"/>
        </w:rPr>
        <w:t>磋商响应报价应包含：包括响应及完成本项目工作所需的一切费用。包含但不限于如人工、设备、税费、人员保险、技术支持与培训、及相关劳务支出等工作所发生的全部费用以及供应商企业利润、税金和政策性文件规定及合同包含的所有风险、责任，即响应本项目的各项应有费用。</w:t>
      </w:r>
    </w:p>
    <w:p>
      <w:pPr>
        <w:snapToGrid w:val="0"/>
        <w:spacing w:line="360" w:lineRule="auto"/>
        <w:ind w:firstLine="494" w:firstLineChars="206"/>
        <w:rPr>
          <w:rFonts w:hAnsi="宋体" w:cs="宋体"/>
          <w:sz w:val="24"/>
          <w:szCs w:val="24"/>
        </w:rPr>
      </w:pPr>
      <w:r>
        <w:rPr>
          <w:rFonts w:ascii="宋体" w:hAnsi="宋体"/>
          <w:sz w:val="24"/>
          <w:szCs w:val="24"/>
        </w:rPr>
        <w:t>6</w:t>
      </w:r>
      <w:r>
        <w:rPr>
          <w:rFonts w:hint="eastAsia" w:ascii="宋体" w:hAnsi="宋体" w:cs="宋体"/>
          <w:sz w:val="24"/>
          <w:szCs w:val="24"/>
        </w:rPr>
        <w:t>.</w:t>
      </w:r>
      <w:r>
        <w:rPr>
          <w:rFonts w:hint="eastAsia" w:ascii="宋体" w:hAnsi="宋体"/>
          <w:sz w:val="24"/>
          <w:szCs w:val="24"/>
        </w:rPr>
        <w:t>除非因特殊原因并经买卖双方协商同意，成交的供应商（以下称成交人）不得再要求追加任何费用。同时，除非合同条款中另有规定，否则，成交人的成交价在合同实施期间不因市场变化因素而变动。</w:t>
      </w:r>
    </w:p>
    <w:p>
      <w:pPr>
        <w:snapToGrid w:val="0"/>
        <w:spacing w:line="360" w:lineRule="auto"/>
        <w:ind w:firstLine="494" w:firstLineChars="206"/>
        <w:outlineLvl w:val="1"/>
        <w:rPr>
          <w:rFonts w:hAnsi="宋体" w:cs="宋体"/>
          <w:b/>
          <w:bCs/>
          <w:sz w:val="24"/>
          <w:szCs w:val="24"/>
        </w:rPr>
      </w:pPr>
      <w:r>
        <w:rPr>
          <w:rFonts w:hint="eastAsia" w:hAnsi="宋体" w:cs="宋体"/>
          <w:b/>
          <w:bCs/>
          <w:sz w:val="24"/>
          <w:szCs w:val="24"/>
        </w:rPr>
        <w:t>七、联合体参与磋商</w:t>
      </w:r>
    </w:p>
    <w:p>
      <w:pPr>
        <w:snapToGrid w:val="0"/>
        <w:spacing w:line="360" w:lineRule="auto"/>
        <w:ind w:firstLine="484" w:firstLineChars="202"/>
        <w:rPr>
          <w:rFonts w:hAnsi="宋体" w:cs="宋体"/>
          <w:sz w:val="24"/>
          <w:szCs w:val="24"/>
        </w:rPr>
      </w:pPr>
      <w:r>
        <w:rPr>
          <w:rFonts w:hint="eastAsia" w:hAnsi="宋体" w:cs="宋体"/>
          <w:sz w:val="24"/>
          <w:szCs w:val="24"/>
        </w:rPr>
        <w:t>不接受任何形式的联合体参与本项目的竞争性磋商。</w:t>
      </w:r>
    </w:p>
    <w:p>
      <w:pPr>
        <w:snapToGrid w:val="0"/>
        <w:spacing w:line="360" w:lineRule="auto"/>
        <w:ind w:firstLine="480" w:firstLineChars="200"/>
        <w:outlineLvl w:val="1"/>
        <w:rPr>
          <w:rFonts w:hAnsi="宋体" w:cs="宋体"/>
          <w:sz w:val="24"/>
          <w:szCs w:val="24"/>
        </w:rPr>
      </w:pPr>
      <w:r>
        <w:rPr>
          <w:rFonts w:hint="eastAsia" w:hAnsi="宋体" w:cs="宋体"/>
          <w:b/>
          <w:bCs/>
          <w:sz w:val="24"/>
          <w:szCs w:val="24"/>
        </w:rPr>
        <w:t>八、响应文件及</w:t>
      </w:r>
      <w:r>
        <w:rPr>
          <w:rFonts w:hint="eastAsia" w:hAnsi="宋体" w:cs="宋体"/>
          <w:b/>
          <w:kern w:val="0"/>
          <w:sz w:val="24"/>
          <w:szCs w:val="24"/>
        </w:rPr>
        <w:t>磋商</w:t>
      </w:r>
      <w:r>
        <w:rPr>
          <w:rFonts w:hint="eastAsia" w:hAnsi="宋体" w:cs="宋体"/>
          <w:b/>
          <w:bCs/>
          <w:sz w:val="24"/>
          <w:szCs w:val="24"/>
        </w:rPr>
        <w:t>费用</w:t>
      </w:r>
    </w:p>
    <w:p>
      <w:pPr>
        <w:snapToGrid w:val="0"/>
        <w:spacing w:line="360" w:lineRule="auto"/>
        <w:ind w:firstLine="460" w:firstLineChars="192"/>
        <w:rPr>
          <w:rFonts w:hAnsi="宋体" w:cs="宋体"/>
          <w:sz w:val="24"/>
          <w:szCs w:val="24"/>
        </w:rPr>
      </w:pPr>
      <w:r>
        <w:rPr>
          <w:rFonts w:hint="eastAsia" w:hAnsi="宋体" w:cs="宋体"/>
          <w:sz w:val="24"/>
          <w:szCs w:val="24"/>
        </w:rPr>
        <w:t>无论磋商过程和结果如何，参加项目磋商的供应商自行承担与本次项目磋商有关的全部费用。</w:t>
      </w:r>
    </w:p>
    <w:p>
      <w:pPr>
        <w:snapToGrid w:val="0"/>
        <w:spacing w:line="360" w:lineRule="auto"/>
        <w:ind w:firstLine="480" w:firstLineChars="200"/>
        <w:outlineLvl w:val="1"/>
        <w:rPr>
          <w:rFonts w:hAnsi="宋体" w:cs="宋体"/>
          <w:b/>
          <w:bCs/>
          <w:sz w:val="24"/>
          <w:szCs w:val="24"/>
        </w:rPr>
      </w:pPr>
      <w:r>
        <w:rPr>
          <w:rFonts w:hint="eastAsia" w:hAnsi="宋体" w:cs="宋体"/>
          <w:b/>
          <w:bCs/>
          <w:sz w:val="24"/>
          <w:szCs w:val="24"/>
        </w:rPr>
        <w:t>九、磋商响应文件的有效期</w:t>
      </w:r>
    </w:p>
    <w:p>
      <w:pPr>
        <w:snapToGrid w:val="0"/>
        <w:spacing w:line="360" w:lineRule="auto"/>
        <w:ind w:firstLine="460" w:firstLineChars="192"/>
        <w:rPr>
          <w:rFonts w:hAnsi="宋体" w:cs="宋体"/>
          <w:sz w:val="24"/>
          <w:szCs w:val="24"/>
        </w:rPr>
      </w:pPr>
      <w:r>
        <w:rPr>
          <w:rFonts w:hint="eastAsia" w:hAnsi="宋体" w:cs="宋体"/>
          <w:sz w:val="24"/>
          <w:szCs w:val="24"/>
        </w:rPr>
        <w:t>1</w:t>
      </w:r>
      <w:r>
        <w:rPr>
          <w:rFonts w:hint="eastAsia" w:ascii="宋体" w:hAnsi="宋体" w:cs="宋体"/>
          <w:sz w:val="24"/>
          <w:szCs w:val="24"/>
        </w:rPr>
        <w:t>.</w:t>
      </w:r>
      <w:r>
        <w:rPr>
          <w:rFonts w:hint="eastAsia" w:hAnsi="宋体" w:cs="宋体"/>
          <w:sz w:val="24"/>
          <w:szCs w:val="24"/>
        </w:rPr>
        <w:t>从磋商响应文件接收截止之日算起，45个“日历天”内响应文件应保持有效。有效期短于这个规定期限的磋商，将被拒绝。</w:t>
      </w:r>
    </w:p>
    <w:p>
      <w:pPr>
        <w:snapToGrid w:val="0"/>
        <w:spacing w:line="360" w:lineRule="auto"/>
        <w:ind w:firstLine="460" w:firstLineChars="192"/>
        <w:rPr>
          <w:rFonts w:hAnsi="宋体" w:cs="宋体"/>
          <w:sz w:val="24"/>
          <w:szCs w:val="24"/>
        </w:rPr>
      </w:pPr>
      <w:r>
        <w:rPr>
          <w:rFonts w:hint="eastAsia" w:hAnsi="宋体" w:cs="宋体"/>
          <w:sz w:val="24"/>
          <w:szCs w:val="24"/>
        </w:rPr>
        <w:t>2</w:t>
      </w:r>
      <w:r>
        <w:rPr>
          <w:rFonts w:hint="eastAsia" w:ascii="宋体" w:hAnsi="宋体" w:cs="宋体"/>
          <w:sz w:val="24"/>
          <w:szCs w:val="24"/>
        </w:rPr>
        <w:t>.</w:t>
      </w:r>
      <w:r>
        <w:rPr>
          <w:rFonts w:hint="eastAsia" w:hAnsi="宋体" w:cs="宋体"/>
          <w:sz w:val="24"/>
          <w:szCs w:val="24"/>
        </w:rPr>
        <w:t>在特殊情况下，代理机构可与响应供应商协商延长响应文件的有效期。这种要求和答复都应以书面的形式进行。同意延长有效期的磋商响应供应商不能修改磋商响应文件。拒绝接受延期要求的磋商响应供应商的响应文件书将被拒绝。</w:t>
      </w:r>
    </w:p>
    <w:p>
      <w:pPr>
        <w:snapToGrid w:val="0"/>
        <w:spacing w:line="360" w:lineRule="auto"/>
        <w:ind w:firstLine="480" w:firstLineChars="200"/>
        <w:outlineLvl w:val="1"/>
        <w:rPr>
          <w:rFonts w:hAnsi="宋体" w:cs="宋体"/>
          <w:b/>
          <w:bCs/>
          <w:sz w:val="24"/>
          <w:szCs w:val="24"/>
        </w:rPr>
      </w:pPr>
      <w:r>
        <w:rPr>
          <w:rFonts w:hint="eastAsia" w:hAnsi="宋体" w:cs="宋体"/>
          <w:b/>
          <w:sz w:val="24"/>
          <w:szCs w:val="24"/>
        </w:rPr>
        <w:t>十、</w:t>
      </w:r>
      <w:r>
        <w:rPr>
          <w:rFonts w:hint="eastAsia" w:hAnsi="宋体" w:cs="宋体"/>
          <w:b/>
          <w:bCs/>
          <w:sz w:val="24"/>
          <w:szCs w:val="24"/>
        </w:rPr>
        <w:t>供货调整及结算方式</w:t>
      </w:r>
    </w:p>
    <w:p>
      <w:pPr>
        <w:snapToGrid w:val="0"/>
        <w:spacing w:line="360" w:lineRule="auto"/>
        <w:ind w:firstLine="480" w:firstLineChars="200"/>
        <w:rPr>
          <w:rFonts w:ascii="宋体" w:hAnsi="宋体"/>
          <w:sz w:val="24"/>
          <w:szCs w:val="24"/>
        </w:rPr>
      </w:pPr>
      <w:r>
        <w:rPr>
          <w:rFonts w:hint="eastAsia" w:ascii="宋体" w:hAnsi="宋体"/>
          <w:sz w:val="24"/>
          <w:szCs w:val="24"/>
        </w:rPr>
        <w:t>如因采购单位实际需求，成交数量发生变化，成交供应商须无条件满足采购单位需求，确保服务质量并及时完成；结算时按采购单位确认的实际服务数量进行结算，综合单价不变。</w:t>
      </w:r>
    </w:p>
    <w:p>
      <w:pPr>
        <w:snapToGrid w:val="0"/>
        <w:spacing w:line="360" w:lineRule="auto"/>
        <w:ind w:firstLine="480" w:firstLineChars="200"/>
        <w:outlineLvl w:val="1"/>
        <w:rPr>
          <w:rFonts w:eastAsia="仿宋_GB2312"/>
          <w:b/>
          <w:sz w:val="24"/>
          <w:szCs w:val="24"/>
        </w:rPr>
      </w:pPr>
      <w:r>
        <w:rPr>
          <w:rFonts w:hint="eastAsia" w:hAnsi="宋体" w:cs="宋体"/>
          <w:b/>
          <w:sz w:val="24"/>
          <w:szCs w:val="24"/>
        </w:rPr>
        <w:t>十一、代理服务费</w:t>
      </w:r>
    </w:p>
    <w:p>
      <w:pPr>
        <w:spacing w:line="360" w:lineRule="auto"/>
        <w:ind w:firstLine="480" w:firstLineChars="200"/>
        <w:rPr>
          <w:rFonts w:ascii="宋体"/>
          <w:b/>
          <w:bCs/>
          <w:sz w:val="24"/>
          <w:szCs w:val="24"/>
        </w:rPr>
      </w:pPr>
      <w:r>
        <w:rPr>
          <w:rFonts w:hint="eastAsia" w:ascii="宋体" w:hAnsi="宋体"/>
          <w:sz w:val="24"/>
          <w:szCs w:val="24"/>
        </w:rPr>
        <w:t>1、</w:t>
      </w:r>
      <w:r>
        <w:rPr>
          <w:rFonts w:hint="eastAsia" w:ascii="宋体" w:hAnsi="宋体" w:cs="宋体"/>
          <w:b/>
          <w:bCs/>
          <w:sz w:val="24"/>
          <w:szCs w:val="24"/>
        </w:rPr>
        <w:t>本项目招标代理费</w:t>
      </w:r>
      <w:r>
        <w:rPr>
          <w:rFonts w:hint="eastAsia" w:ascii="宋体" w:hAnsi="宋体" w:cs="宋体"/>
          <w:b/>
          <w:bCs/>
          <w:sz w:val="24"/>
          <w:szCs w:val="24"/>
          <w:lang w:val="en-US" w:eastAsia="zh-CN"/>
        </w:rPr>
        <w:t>及评审费</w:t>
      </w:r>
      <w:r>
        <w:rPr>
          <w:rFonts w:hint="eastAsia" w:ascii="宋体" w:hAnsi="宋体" w:cs="宋体"/>
          <w:b/>
          <w:bCs/>
          <w:sz w:val="24"/>
          <w:szCs w:val="24"/>
        </w:rPr>
        <w:t>由成交供应商承担，请参加</w:t>
      </w:r>
      <w:r>
        <w:rPr>
          <w:rFonts w:hint="eastAsia" w:ascii="宋体" w:hAnsi="宋体" w:cs="宋体"/>
          <w:b/>
          <w:bCs/>
          <w:sz w:val="24"/>
          <w:szCs w:val="24"/>
          <w:lang w:val="en-US" w:eastAsia="zh-CN"/>
        </w:rPr>
        <w:t>磋商</w:t>
      </w:r>
      <w:r>
        <w:rPr>
          <w:rFonts w:hint="eastAsia" w:ascii="宋体" w:hAnsi="宋体" w:cs="宋体"/>
          <w:b/>
          <w:bCs/>
          <w:sz w:val="24"/>
          <w:szCs w:val="24"/>
        </w:rPr>
        <w:t>的投标供应商在成本中自行考虑。由中标人在领取中标通知书前，一次性支付给招标代理机构。</w:t>
      </w:r>
    </w:p>
    <w:p>
      <w:pPr>
        <w:snapToGrid w:val="0"/>
        <w:spacing w:line="360" w:lineRule="auto"/>
        <w:ind w:firstLine="470" w:firstLineChars="196"/>
        <w:outlineLvl w:val="1"/>
        <w:rPr>
          <w:rFonts w:hint="default" w:ascii="宋体" w:hAnsi="宋体" w:eastAsia="宋体"/>
          <w:sz w:val="24"/>
          <w:szCs w:val="24"/>
          <w:lang w:val="en-US" w:eastAsia="zh-CN"/>
        </w:rPr>
      </w:pPr>
      <w:r>
        <w:rPr>
          <w:rFonts w:hint="eastAsia" w:ascii="宋体" w:hAnsi="宋体"/>
          <w:sz w:val="24"/>
          <w:szCs w:val="24"/>
        </w:rPr>
        <w:t>2、招标代理服务费计取标准：参照国家计划委员会下发的《招标代理服务收费管理暂行办法》（计价格【2002】1980号文）及【2011】534号文规定的标准收取，按中标价作为计费基础，不足2500元按2500元收取。</w:t>
      </w:r>
      <w:r>
        <w:rPr>
          <w:rFonts w:hint="eastAsia" w:ascii="宋体" w:hAnsi="宋体"/>
          <w:sz w:val="24"/>
          <w:szCs w:val="24"/>
          <w:lang w:val="en-US" w:eastAsia="zh-CN"/>
        </w:rPr>
        <w:t>评审费按实际发生结算。</w:t>
      </w:r>
    </w:p>
    <w:tbl>
      <w:tblPr>
        <w:tblStyle w:val="21"/>
        <w:tblW w:w="0" w:type="auto"/>
        <w:tblInd w:w="528" w:type="dxa"/>
        <w:tblLayout w:type="fixed"/>
        <w:tblCellMar>
          <w:top w:w="0" w:type="dxa"/>
          <w:left w:w="0" w:type="dxa"/>
          <w:bottom w:w="0" w:type="dxa"/>
          <w:right w:w="0" w:type="dxa"/>
        </w:tblCellMar>
      </w:tblPr>
      <w:tblGrid>
        <w:gridCol w:w="2321"/>
        <w:gridCol w:w="1809"/>
        <w:gridCol w:w="1809"/>
        <w:gridCol w:w="1809"/>
      </w:tblGrid>
      <w:tr>
        <w:tblPrEx>
          <w:tblCellMar>
            <w:top w:w="0" w:type="dxa"/>
            <w:left w:w="0" w:type="dxa"/>
            <w:bottom w:w="0" w:type="dxa"/>
            <w:right w:w="0" w:type="dxa"/>
          </w:tblCellMar>
        </w:tblPrEx>
        <w:trPr>
          <w:trHeight w:val="1230" w:hRule="atLeast"/>
        </w:trPr>
        <w:tc>
          <w:tcPr>
            <w:tcW w:w="2321" w:type="dxa"/>
            <w:tcBorders>
              <w:top w:val="single" w:color="auto" w:sz="12" w:space="0"/>
              <w:left w:val="single" w:color="auto" w:sz="12" w:space="0"/>
              <w:bottom w:val="single" w:color="auto" w:sz="12" w:space="0"/>
              <w:right w:val="single" w:color="auto" w:sz="12"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Tahoma" w:hAnsi="Tahoma" w:cs="Tahoma"/>
                <w:kern w:val="0"/>
                <w:sz w:val="18"/>
                <w:szCs w:val="18"/>
              </w:rPr>
            </w:pPr>
            <w:r>
              <w:rPr>
                <w:rFonts w:hint="eastAsia" w:ascii="宋体" w:hAnsi="宋体" w:cs="Tahoma"/>
                <w:b/>
                <w:bCs/>
                <w:kern w:val="0"/>
                <w:sz w:val="24"/>
              </w:rPr>
              <w:t>中标金额（万元）</w:t>
            </w:r>
          </w:p>
        </w:tc>
        <w:tc>
          <w:tcPr>
            <w:tcW w:w="1809" w:type="dxa"/>
            <w:tcBorders>
              <w:top w:val="single" w:color="auto" w:sz="12" w:space="0"/>
              <w:left w:val="outset" w:color="ECE9D8" w:sz="6" w:space="0"/>
              <w:bottom w:val="single" w:color="auto" w:sz="12" w:space="0"/>
              <w:right w:val="single" w:color="auto" w:sz="12" w:space="0"/>
            </w:tcBorders>
            <w:noWrap w:val="0"/>
            <w:tcMar>
              <w:top w:w="0" w:type="dxa"/>
              <w:left w:w="108" w:type="dxa"/>
              <w:bottom w:w="0" w:type="dxa"/>
              <w:right w:w="108" w:type="dxa"/>
            </w:tcMar>
            <w:vAlign w:val="center"/>
          </w:tcPr>
          <w:p>
            <w:pPr>
              <w:widowControl/>
              <w:spacing w:before="100" w:beforeAutospacing="1" w:after="100" w:afterAutospacing="1"/>
              <w:jc w:val="left"/>
              <w:rPr>
                <w:rFonts w:ascii="Tahoma" w:hAnsi="Tahoma" w:cs="Tahoma"/>
                <w:kern w:val="0"/>
                <w:sz w:val="18"/>
                <w:szCs w:val="18"/>
              </w:rPr>
            </w:pPr>
            <w:r>
              <w:rPr>
                <w:rFonts w:hint="eastAsia" w:ascii="宋体" w:hAnsi="宋体" w:cs="Tahoma"/>
                <w:b/>
                <w:bCs/>
                <w:kern w:val="0"/>
                <w:sz w:val="24"/>
              </w:rPr>
              <w:t>货物招标</w:t>
            </w:r>
          </w:p>
        </w:tc>
        <w:tc>
          <w:tcPr>
            <w:tcW w:w="1809" w:type="dxa"/>
            <w:tcBorders>
              <w:top w:val="single" w:color="auto" w:sz="12" w:space="0"/>
              <w:left w:val="outset" w:color="ECE9D8" w:sz="6" w:space="0"/>
              <w:bottom w:val="single" w:color="auto" w:sz="12" w:space="0"/>
              <w:right w:val="single" w:color="auto" w:sz="12" w:space="0"/>
            </w:tcBorders>
            <w:noWrap w:val="0"/>
            <w:tcMar>
              <w:top w:w="0" w:type="dxa"/>
              <w:left w:w="108" w:type="dxa"/>
              <w:bottom w:w="0" w:type="dxa"/>
              <w:right w:w="108" w:type="dxa"/>
            </w:tcMar>
            <w:vAlign w:val="center"/>
          </w:tcPr>
          <w:p>
            <w:pPr>
              <w:widowControl/>
              <w:spacing w:before="100" w:beforeAutospacing="1" w:after="100" w:afterAutospacing="1"/>
              <w:jc w:val="left"/>
              <w:rPr>
                <w:rFonts w:ascii="Tahoma" w:hAnsi="Tahoma" w:cs="Tahoma"/>
                <w:kern w:val="0"/>
                <w:sz w:val="18"/>
                <w:szCs w:val="18"/>
              </w:rPr>
            </w:pPr>
            <w:r>
              <w:rPr>
                <w:rFonts w:hint="eastAsia" w:ascii="宋体" w:hAnsi="宋体" w:cs="Tahoma"/>
                <w:b/>
                <w:bCs/>
                <w:kern w:val="0"/>
                <w:sz w:val="24"/>
              </w:rPr>
              <w:t>服务招标</w:t>
            </w:r>
          </w:p>
        </w:tc>
        <w:tc>
          <w:tcPr>
            <w:tcW w:w="1809" w:type="dxa"/>
            <w:tcBorders>
              <w:top w:val="single" w:color="auto" w:sz="12" w:space="0"/>
              <w:left w:val="outset" w:color="ECE9D8" w:sz="6" w:space="0"/>
              <w:bottom w:val="single" w:color="auto" w:sz="12" w:space="0"/>
              <w:right w:val="single" w:color="auto" w:sz="12" w:space="0"/>
            </w:tcBorders>
            <w:noWrap w:val="0"/>
            <w:tcMar>
              <w:top w:w="0" w:type="dxa"/>
              <w:left w:w="108" w:type="dxa"/>
              <w:bottom w:w="0" w:type="dxa"/>
              <w:right w:w="108" w:type="dxa"/>
            </w:tcMar>
            <w:vAlign w:val="center"/>
          </w:tcPr>
          <w:p>
            <w:pPr>
              <w:widowControl/>
              <w:spacing w:before="100" w:beforeAutospacing="1" w:after="100" w:afterAutospacing="1"/>
              <w:jc w:val="left"/>
              <w:rPr>
                <w:rFonts w:ascii="Tahoma" w:hAnsi="Tahoma" w:cs="Tahoma"/>
                <w:kern w:val="0"/>
                <w:sz w:val="18"/>
                <w:szCs w:val="18"/>
              </w:rPr>
            </w:pPr>
            <w:r>
              <w:rPr>
                <w:rFonts w:hint="eastAsia" w:ascii="宋体" w:hAnsi="宋体" w:cs="Tahoma"/>
                <w:b/>
                <w:bCs/>
                <w:kern w:val="0"/>
                <w:sz w:val="24"/>
              </w:rPr>
              <w:t>工程招标</w:t>
            </w:r>
          </w:p>
        </w:tc>
      </w:tr>
      <w:tr>
        <w:tblPrEx>
          <w:tblCellMar>
            <w:top w:w="0" w:type="dxa"/>
            <w:left w:w="0" w:type="dxa"/>
            <w:bottom w:w="0" w:type="dxa"/>
            <w:right w:w="0" w:type="dxa"/>
          </w:tblCellMar>
        </w:tblPrEx>
        <w:tc>
          <w:tcPr>
            <w:tcW w:w="2321" w:type="dxa"/>
            <w:tcBorders>
              <w:top w:val="outset" w:color="ECE9D8" w:sz="6" w:space="0"/>
              <w:left w:val="single" w:color="auto" w:sz="12" w:space="0"/>
              <w:bottom w:val="single" w:color="auto" w:sz="12" w:space="0"/>
              <w:right w:val="single" w:color="auto" w:sz="12" w:space="0"/>
            </w:tcBorders>
            <w:noWrap w:val="0"/>
            <w:tcMar>
              <w:top w:w="0" w:type="dxa"/>
              <w:left w:w="108" w:type="dxa"/>
              <w:bottom w:w="0" w:type="dxa"/>
              <w:right w:w="108" w:type="dxa"/>
            </w:tcMar>
            <w:vAlign w:val="top"/>
          </w:tcPr>
          <w:p>
            <w:pPr>
              <w:widowControl/>
              <w:spacing w:before="100" w:beforeAutospacing="1" w:after="100" w:afterAutospacing="1"/>
              <w:jc w:val="left"/>
              <w:rPr>
                <w:rFonts w:ascii="Tahoma" w:hAnsi="Tahoma" w:cs="Tahoma"/>
                <w:kern w:val="0"/>
                <w:sz w:val="18"/>
                <w:szCs w:val="18"/>
              </w:rPr>
            </w:pPr>
            <w:r>
              <w:rPr>
                <w:b/>
                <w:bCs/>
                <w:kern w:val="0"/>
                <w:sz w:val="24"/>
              </w:rPr>
              <w:t>100</w:t>
            </w:r>
            <w:r>
              <w:rPr>
                <w:rFonts w:hint="eastAsia" w:ascii="宋体" w:hAnsi="宋体" w:cs="Tahoma"/>
                <w:b/>
                <w:bCs/>
                <w:kern w:val="0"/>
                <w:sz w:val="24"/>
              </w:rPr>
              <w:t>以下</w:t>
            </w:r>
          </w:p>
        </w:tc>
        <w:tc>
          <w:tcPr>
            <w:tcW w:w="1809" w:type="dxa"/>
            <w:tcBorders>
              <w:top w:val="outset" w:color="ECE9D8" w:sz="6" w:space="0"/>
              <w:left w:val="outset" w:color="ECE9D8" w:sz="6" w:space="0"/>
              <w:bottom w:val="single" w:color="auto" w:sz="12" w:space="0"/>
              <w:right w:val="single" w:color="auto" w:sz="12" w:space="0"/>
            </w:tcBorders>
            <w:noWrap w:val="0"/>
            <w:tcMar>
              <w:top w:w="0" w:type="dxa"/>
              <w:left w:w="108" w:type="dxa"/>
              <w:bottom w:w="0" w:type="dxa"/>
              <w:right w:w="108" w:type="dxa"/>
            </w:tcMar>
            <w:vAlign w:val="top"/>
          </w:tcPr>
          <w:p>
            <w:pPr>
              <w:widowControl/>
              <w:spacing w:before="100" w:beforeAutospacing="1" w:after="100" w:afterAutospacing="1"/>
              <w:jc w:val="left"/>
              <w:rPr>
                <w:rFonts w:ascii="Tahoma" w:hAnsi="Tahoma" w:cs="Tahoma"/>
                <w:kern w:val="0"/>
                <w:sz w:val="18"/>
                <w:szCs w:val="18"/>
              </w:rPr>
            </w:pPr>
            <w:r>
              <w:rPr>
                <w:b/>
                <w:bCs/>
                <w:kern w:val="0"/>
                <w:sz w:val="24"/>
              </w:rPr>
              <w:t>1.5%</w:t>
            </w:r>
          </w:p>
        </w:tc>
        <w:tc>
          <w:tcPr>
            <w:tcW w:w="1809" w:type="dxa"/>
            <w:tcBorders>
              <w:top w:val="outset" w:color="ECE9D8" w:sz="6" w:space="0"/>
              <w:left w:val="outset" w:color="ECE9D8" w:sz="6" w:space="0"/>
              <w:bottom w:val="single" w:color="auto" w:sz="12" w:space="0"/>
              <w:right w:val="single" w:color="auto" w:sz="12" w:space="0"/>
            </w:tcBorders>
            <w:noWrap w:val="0"/>
            <w:tcMar>
              <w:top w:w="0" w:type="dxa"/>
              <w:left w:w="108" w:type="dxa"/>
              <w:bottom w:w="0" w:type="dxa"/>
              <w:right w:w="108" w:type="dxa"/>
            </w:tcMar>
            <w:vAlign w:val="top"/>
          </w:tcPr>
          <w:p>
            <w:pPr>
              <w:widowControl/>
              <w:spacing w:before="100" w:beforeAutospacing="1" w:after="100" w:afterAutospacing="1"/>
              <w:jc w:val="left"/>
              <w:rPr>
                <w:rFonts w:ascii="Tahoma" w:hAnsi="Tahoma" w:cs="Tahoma"/>
                <w:kern w:val="0"/>
                <w:sz w:val="18"/>
                <w:szCs w:val="18"/>
              </w:rPr>
            </w:pPr>
            <w:r>
              <w:rPr>
                <w:b/>
                <w:bCs/>
                <w:kern w:val="0"/>
                <w:sz w:val="24"/>
              </w:rPr>
              <w:t>1.5%</w:t>
            </w:r>
          </w:p>
        </w:tc>
        <w:tc>
          <w:tcPr>
            <w:tcW w:w="1809" w:type="dxa"/>
            <w:tcBorders>
              <w:top w:val="outset" w:color="ECE9D8" w:sz="6" w:space="0"/>
              <w:left w:val="outset" w:color="ECE9D8" w:sz="6" w:space="0"/>
              <w:bottom w:val="single" w:color="auto" w:sz="12" w:space="0"/>
              <w:right w:val="single" w:color="auto" w:sz="12" w:space="0"/>
            </w:tcBorders>
            <w:noWrap w:val="0"/>
            <w:tcMar>
              <w:top w:w="0" w:type="dxa"/>
              <w:left w:w="108" w:type="dxa"/>
              <w:bottom w:w="0" w:type="dxa"/>
              <w:right w:w="108" w:type="dxa"/>
            </w:tcMar>
            <w:vAlign w:val="top"/>
          </w:tcPr>
          <w:p>
            <w:pPr>
              <w:widowControl/>
              <w:spacing w:before="100" w:beforeAutospacing="1" w:after="100" w:afterAutospacing="1"/>
              <w:jc w:val="left"/>
              <w:rPr>
                <w:rFonts w:ascii="Tahoma" w:hAnsi="Tahoma" w:cs="Tahoma"/>
                <w:kern w:val="0"/>
                <w:sz w:val="18"/>
                <w:szCs w:val="18"/>
              </w:rPr>
            </w:pPr>
            <w:r>
              <w:rPr>
                <w:b/>
                <w:bCs/>
                <w:kern w:val="0"/>
                <w:sz w:val="24"/>
              </w:rPr>
              <w:t>1.0%</w:t>
            </w:r>
          </w:p>
        </w:tc>
      </w:tr>
    </w:tbl>
    <w:p>
      <w:pPr>
        <w:snapToGrid w:val="0"/>
        <w:spacing w:line="360" w:lineRule="auto"/>
        <w:ind w:firstLine="494" w:firstLineChars="206"/>
        <w:rPr>
          <w:rFonts w:ascii="宋体" w:hAnsi="宋体" w:cs="宋体"/>
          <w:sz w:val="24"/>
          <w:szCs w:val="24"/>
        </w:rPr>
      </w:pPr>
    </w:p>
    <w:p>
      <w:pPr>
        <w:snapToGrid w:val="0"/>
        <w:spacing w:line="360" w:lineRule="auto"/>
        <w:ind w:firstLine="494" w:firstLineChars="206"/>
        <w:rPr>
          <w:rFonts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w:t>
      </w:r>
      <w:r>
        <w:rPr>
          <w:rFonts w:hint="eastAsia" w:hAnsi="宋体" w:cs="宋体"/>
          <w:sz w:val="24"/>
          <w:szCs w:val="24"/>
        </w:rPr>
        <w:t>供应商自行考虑包含在响应报价内的该项费用及风险并将其综合在单价内，不得单列。</w:t>
      </w:r>
    </w:p>
    <w:p>
      <w:pPr>
        <w:snapToGrid w:val="0"/>
        <w:spacing w:line="360" w:lineRule="auto"/>
        <w:ind w:firstLine="494" w:firstLineChars="206"/>
        <w:outlineLvl w:val="1"/>
        <w:rPr>
          <w:rFonts w:hAnsi="宋体" w:cs="宋体"/>
          <w:b/>
          <w:sz w:val="24"/>
          <w:szCs w:val="24"/>
        </w:rPr>
      </w:pPr>
      <w:r>
        <w:rPr>
          <w:rFonts w:hint="eastAsia" w:hAnsi="宋体" w:cs="宋体"/>
          <w:b/>
          <w:sz w:val="24"/>
          <w:szCs w:val="24"/>
        </w:rPr>
        <w:t>十二、知识产权</w:t>
      </w:r>
    </w:p>
    <w:p>
      <w:pPr>
        <w:snapToGrid w:val="0"/>
        <w:spacing w:line="360" w:lineRule="auto"/>
        <w:ind w:firstLine="494" w:firstLineChars="206"/>
        <w:rPr>
          <w:rFonts w:hAnsi="宋体" w:cs="宋体"/>
          <w:sz w:val="24"/>
          <w:szCs w:val="24"/>
        </w:rPr>
      </w:pPr>
      <w:r>
        <w:rPr>
          <w:rFonts w:hint="eastAsia" w:hAnsi="宋体" w:cs="宋体"/>
          <w:sz w:val="24"/>
          <w:szCs w:val="24"/>
        </w:rPr>
        <w:t>成交人应保证本项目采购单位及最终用户在使用本项目合同标的物的任何部分（含软、硬件及相关配套设备）均不受第三方关于侵犯其所有权，专利权、商标权等一切可能的知识产权侵权的指控。采购单位或最终用户因此而受到的全部损失包括对第三方的任何赔偿、补偿、垫付的款项以及应对指控而支出的全部费用，均由成交人承担。</w:t>
      </w:r>
    </w:p>
    <w:p>
      <w:pPr>
        <w:snapToGrid w:val="0"/>
        <w:spacing w:line="360" w:lineRule="auto"/>
        <w:ind w:firstLine="494" w:firstLineChars="206"/>
        <w:outlineLvl w:val="1"/>
        <w:rPr>
          <w:rFonts w:hAnsi="宋体" w:cs="宋体"/>
          <w:b/>
          <w:sz w:val="24"/>
          <w:szCs w:val="24"/>
        </w:rPr>
      </w:pPr>
      <w:r>
        <w:rPr>
          <w:rFonts w:hint="eastAsia" w:hAnsi="宋体" w:cs="宋体"/>
          <w:b/>
          <w:sz w:val="24"/>
          <w:szCs w:val="24"/>
        </w:rPr>
        <w:t>十三、未尽事宜</w:t>
      </w:r>
    </w:p>
    <w:p>
      <w:pPr>
        <w:snapToGrid w:val="0"/>
        <w:spacing w:line="360" w:lineRule="auto"/>
        <w:ind w:firstLine="494" w:firstLineChars="206"/>
        <w:rPr>
          <w:rFonts w:ascii="宋体" w:hAnsi="宋体" w:cs="宋体"/>
          <w:w w:val="80"/>
          <w:szCs w:val="44"/>
        </w:rPr>
      </w:pPr>
      <w:r>
        <w:rPr>
          <w:rFonts w:hint="eastAsia" w:hAnsi="宋体" w:cs="宋体"/>
          <w:sz w:val="24"/>
          <w:szCs w:val="24"/>
        </w:rPr>
        <w:t>按《中华人民共和国政府采购法》、《政府采购竞争性磋商采购方式管理暂行办法》及其他有关法律法规的规定执行。</w:t>
      </w:r>
      <w:bookmarkStart w:id="1" w:name="_Toc432763305"/>
    </w:p>
    <w:p>
      <w:pPr>
        <w:pStyle w:val="4"/>
        <w:keepNext w:val="0"/>
        <w:keepLines w:val="0"/>
        <w:adjustRightInd w:val="0"/>
        <w:snapToGrid w:val="0"/>
        <w:spacing w:before="0" w:after="0" w:line="360" w:lineRule="auto"/>
        <w:jc w:val="center"/>
        <w:textAlignment w:val="baseline"/>
        <w:rPr>
          <w:rFonts w:ascii="宋体" w:hAnsi="宋体" w:eastAsia="宋体" w:cs="宋体"/>
          <w:w w:val="80"/>
          <w:szCs w:val="44"/>
        </w:rPr>
        <w:sectPr>
          <w:footerReference r:id="rId5" w:type="default"/>
          <w:pgSz w:w="11906" w:h="16838"/>
          <w:pgMar w:top="1247" w:right="1418" w:bottom="1247" w:left="1418" w:header="851" w:footer="992" w:gutter="0"/>
          <w:pgNumType w:start="1"/>
          <w:cols w:space="720" w:num="1"/>
          <w:docGrid w:type="linesAndChars" w:linePitch="312" w:charSpace="0"/>
        </w:sectPr>
      </w:pPr>
    </w:p>
    <w:bookmarkEnd w:id="1"/>
    <w:p>
      <w:pPr>
        <w:pStyle w:val="20"/>
        <w:ind w:left="0" w:leftChars="0" w:firstLine="0" w:firstLineChars="0"/>
        <w:jc w:val="center"/>
        <w:rPr>
          <w:rFonts w:hint="eastAsia" w:ascii="宋体" w:hAnsi="宋体" w:eastAsia="宋体" w:cs="宋体"/>
          <w:b/>
          <w:w w:val="80"/>
          <w:kern w:val="44"/>
          <w:sz w:val="44"/>
          <w:szCs w:val="44"/>
          <w:lang w:val="en-US" w:eastAsia="zh-CN"/>
        </w:rPr>
      </w:pPr>
      <w:r>
        <w:rPr>
          <w:rFonts w:hint="eastAsia" w:ascii="宋体" w:hAnsi="宋体" w:cs="宋体"/>
          <w:b/>
          <w:w w:val="80"/>
          <w:kern w:val="44"/>
          <w:sz w:val="44"/>
          <w:szCs w:val="44"/>
        </w:rPr>
        <w:t>第</w:t>
      </w:r>
      <w:r>
        <w:rPr>
          <w:rFonts w:hint="eastAsia" w:ascii="宋体" w:hAnsi="宋体" w:cs="宋体"/>
          <w:b/>
          <w:w w:val="80"/>
          <w:kern w:val="44"/>
          <w:sz w:val="44"/>
          <w:szCs w:val="44"/>
          <w:lang w:val="en-US" w:eastAsia="zh-CN"/>
        </w:rPr>
        <w:t>三</w:t>
      </w:r>
      <w:r>
        <w:rPr>
          <w:rFonts w:hint="eastAsia" w:ascii="宋体" w:hAnsi="宋体" w:cs="宋体"/>
          <w:b/>
          <w:w w:val="80"/>
          <w:kern w:val="44"/>
          <w:sz w:val="44"/>
          <w:szCs w:val="44"/>
        </w:rPr>
        <w:t xml:space="preserve">章  </w:t>
      </w:r>
      <w:r>
        <w:rPr>
          <w:rFonts w:hint="eastAsia" w:ascii="宋体" w:hAnsi="宋体" w:cs="宋体"/>
          <w:b/>
          <w:w w:val="80"/>
          <w:kern w:val="44"/>
          <w:sz w:val="44"/>
          <w:szCs w:val="44"/>
          <w:lang w:val="en-US" w:eastAsia="zh-CN"/>
        </w:rPr>
        <w:t>项目需求</w:t>
      </w:r>
    </w:p>
    <w:p>
      <w:pPr>
        <w:snapToGrid w:val="0"/>
        <w:spacing w:line="360" w:lineRule="auto"/>
        <w:ind w:firstLine="487" w:firstLineChars="202"/>
        <w:rPr>
          <w:rFonts w:hint="eastAsia" w:ascii="宋体" w:hAnsi="宋体" w:cs="宋体"/>
          <w:b/>
          <w:bCs/>
          <w:color w:val="auto"/>
          <w:sz w:val="24"/>
          <w:szCs w:val="24"/>
        </w:rPr>
      </w:pPr>
    </w:p>
    <w:p>
      <w:pPr>
        <w:snapToGrid w:val="0"/>
        <w:spacing w:line="360" w:lineRule="auto"/>
        <w:ind w:firstLine="487" w:firstLineChars="202"/>
        <w:rPr>
          <w:rFonts w:ascii="宋体" w:hAnsi="宋体" w:cs="宋体"/>
          <w:b/>
          <w:bCs/>
          <w:color w:val="auto"/>
          <w:sz w:val="24"/>
          <w:szCs w:val="24"/>
        </w:rPr>
      </w:pPr>
      <w:r>
        <w:rPr>
          <w:rFonts w:hint="eastAsia" w:ascii="宋体" w:hAnsi="宋体" w:cs="宋体"/>
          <w:b/>
          <w:bCs/>
          <w:color w:val="auto"/>
          <w:sz w:val="24"/>
          <w:szCs w:val="24"/>
        </w:rPr>
        <w:t>1、货物清单：</w:t>
      </w:r>
    </w:p>
    <w:tbl>
      <w:tblPr>
        <w:tblStyle w:val="65"/>
        <w:tblW w:w="8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667"/>
        <w:gridCol w:w="230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710" w:type="dxa"/>
            <w:vAlign w:val="center"/>
          </w:tcPr>
          <w:p>
            <w:pPr>
              <w:adjustRightInd w:val="0"/>
              <w:jc w:val="center"/>
              <w:rPr>
                <w:rFonts w:ascii="宋体" w:hAnsi="宋体" w:cs="宋体"/>
                <w:b/>
                <w:color w:val="auto"/>
                <w:kern w:val="0"/>
                <w:sz w:val="24"/>
                <w:szCs w:val="24"/>
                <w:lang w:bidi="th-TH"/>
              </w:rPr>
            </w:pPr>
            <w:r>
              <w:rPr>
                <w:rFonts w:hint="eastAsia" w:ascii="宋体" w:hAnsi="宋体" w:cs="宋体"/>
                <w:b/>
                <w:color w:val="auto"/>
                <w:kern w:val="0"/>
                <w:sz w:val="24"/>
                <w:szCs w:val="24"/>
                <w:lang w:bidi="th-TH"/>
              </w:rPr>
              <w:t>序号</w:t>
            </w:r>
          </w:p>
        </w:tc>
        <w:tc>
          <w:tcPr>
            <w:tcW w:w="3667" w:type="dxa"/>
            <w:vAlign w:val="center"/>
          </w:tcPr>
          <w:p>
            <w:pPr>
              <w:adjustRightInd w:val="0"/>
              <w:jc w:val="center"/>
              <w:rPr>
                <w:rFonts w:ascii="宋体" w:hAnsi="宋体" w:cs="宋体"/>
                <w:b/>
                <w:color w:val="auto"/>
                <w:kern w:val="0"/>
                <w:sz w:val="24"/>
                <w:szCs w:val="24"/>
              </w:rPr>
            </w:pPr>
            <w:r>
              <w:rPr>
                <w:rFonts w:hint="eastAsia" w:ascii="宋体" w:hAnsi="宋体" w:cs="宋体"/>
                <w:b/>
                <w:color w:val="auto"/>
                <w:spacing w:val="-2"/>
                <w:kern w:val="0"/>
                <w:sz w:val="24"/>
                <w:szCs w:val="24"/>
              </w:rPr>
              <w:t>货物名称</w:t>
            </w:r>
          </w:p>
        </w:tc>
        <w:tc>
          <w:tcPr>
            <w:tcW w:w="2305" w:type="dxa"/>
            <w:vAlign w:val="center"/>
          </w:tcPr>
          <w:p>
            <w:pPr>
              <w:adjustRightInd w:val="0"/>
              <w:jc w:val="center"/>
              <w:rPr>
                <w:rFonts w:ascii="宋体" w:hAnsi="宋体" w:cs="宋体"/>
                <w:b/>
                <w:color w:val="auto"/>
                <w:kern w:val="0"/>
                <w:sz w:val="24"/>
                <w:szCs w:val="24"/>
                <w:lang w:bidi="th-TH"/>
              </w:rPr>
            </w:pPr>
            <w:r>
              <w:rPr>
                <w:rFonts w:hint="eastAsia" w:ascii="宋体" w:hAnsi="宋体" w:cs="宋体"/>
                <w:b/>
                <w:color w:val="auto"/>
                <w:kern w:val="0"/>
                <w:sz w:val="24"/>
                <w:szCs w:val="24"/>
                <w:lang w:bidi="th-TH"/>
              </w:rPr>
              <w:t>编号</w:t>
            </w:r>
          </w:p>
        </w:tc>
        <w:tc>
          <w:tcPr>
            <w:tcW w:w="1391" w:type="dxa"/>
            <w:vAlign w:val="center"/>
          </w:tcPr>
          <w:p>
            <w:pPr>
              <w:adjustRightInd w:val="0"/>
              <w:jc w:val="center"/>
              <w:rPr>
                <w:rFonts w:ascii="宋体" w:hAnsi="宋体" w:cs="宋体"/>
                <w:b/>
                <w:color w:val="auto"/>
                <w:kern w:val="0"/>
                <w:sz w:val="24"/>
                <w:szCs w:val="24"/>
                <w:lang w:bidi="th-TH"/>
              </w:rPr>
            </w:pPr>
            <w:r>
              <w:rPr>
                <w:rFonts w:hint="eastAsia" w:ascii="宋体" w:hAnsi="宋体" w:cs="宋体"/>
                <w:b/>
                <w:color w:val="auto"/>
                <w:kern w:val="0"/>
                <w:sz w:val="24"/>
                <w:szCs w:val="24"/>
                <w:lang w:bidi="th-TH"/>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10" w:type="dxa"/>
            <w:vAlign w:val="center"/>
          </w:tcPr>
          <w:p>
            <w:pPr>
              <w:widowControl/>
              <w:jc w:val="center"/>
              <w:textAlignment w:val="center"/>
              <w:rPr>
                <w:rFonts w:ascii="宋体" w:hAnsi="宋体" w:cs="宋体"/>
                <w:color w:val="auto"/>
                <w:kern w:val="0"/>
                <w:sz w:val="24"/>
                <w:szCs w:val="24"/>
              </w:rPr>
            </w:pPr>
            <w:r>
              <w:rPr>
                <w:rFonts w:hint="eastAsia" w:ascii="宋体" w:hAnsi="宋体" w:cs="宋体"/>
                <w:color w:val="auto"/>
                <w:kern w:val="0"/>
                <w:sz w:val="24"/>
                <w:szCs w:val="24"/>
              </w:rPr>
              <w:t>1</w:t>
            </w:r>
          </w:p>
        </w:tc>
        <w:tc>
          <w:tcPr>
            <w:tcW w:w="3667" w:type="dxa"/>
            <w:vAlign w:val="center"/>
          </w:tcPr>
          <w:p>
            <w:pPr>
              <w:widowControl/>
              <w:jc w:val="center"/>
              <w:textAlignment w:val="center"/>
              <w:rPr>
                <w:rFonts w:ascii="宋体" w:hAnsi="宋体" w:cs="宋体"/>
                <w:b/>
                <w:color w:val="auto"/>
                <w:kern w:val="0"/>
                <w:sz w:val="24"/>
                <w:szCs w:val="24"/>
              </w:rPr>
            </w:pPr>
            <w:r>
              <w:rPr>
                <w:rFonts w:hint="eastAsia" w:ascii="宋体" w:hAnsi="宋体" w:cs="宋体"/>
                <w:color w:val="auto"/>
                <w:kern w:val="0"/>
                <w:sz w:val="24"/>
                <w:szCs w:val="24"/>
              </w:rPr>
              <w:t>医用大型灭菌器灭菌效果物理参数检测系统</w:t>
            </w:r>
          </w:p>
        </w:tc>
        <w:tc>
          <w:tcPr>
            <w:tcW w:w="2305" w:type="dxa"/>
            <w:vAlign w:val="center"/>
          </w:tcPr>
          <w:p>
            <w:pPr>
              <w:widowControl/>
              <w:jc w:val="center"/>
              <w:textAlignment w:val="center"/>
              <w:rPr>
                <w:rFonts w:ascii="宋体" w:hAnsi="宋体" w:cs="宋体"/>
                <w:color w:val="auto"/>
                <w:kern w:val="0"/>
                <w:sz w:val="24"/>
                <w:szCs w:val="24"/>
              </w:rPr>
            </w:pPr>
            <w:r>
              <w:rPr>
                <w:rFonts w:hint="eastAsia"/>
                <w:color w:val="auto"/>
                <w:sz w:val="24"/>
                <w:szCs w:val="24"/>
              </w:rPr>
              <w:t>/</w:t>
            </w:r>
          </w:p>
        </w:tc>
        <w:tc>
          <w:tcPr>
            <w:tcW w:w="1391" w:type="dxa"/>
            <w:vAlign w:val="center"/>
          </w:tcPr>
          <w:p>
            <w:pPr>
              <w:widowControl/>
              <w:jc w:val="center"/>
              <w:textAlignment w:val="center"/>
              <w:rPr>
                <w:rFonts w:ascii="宋体" w:hAnsi="宋体" w:cs="宋体"/>
                <w:b/>
                <w:color w:val="auto"/>
                <w:kern w:val="0"/>
                <w:sz w:val="24"/>
                <w:szCs w:val="24"/>
              </w:rPr>
            </w:pPr>
            <w:r>
              <w:rPr>
                <w:rFonts w:hint="eastAsia" w:ascii="宋体" w:hAnsi="宋体" w:cs="宋体"/>
                <w:color w:val="auto"/>
                <w:kern w:val="0"/>
                <w:sz w:val="24"/>
                <w:szCs w:val="24"/>
              </w:rPr>
              <w:t>1</w:t>
            </w:r>
          </w:p>
        </w:tc>
      </w:tr>
    </w:tbl>
    <w:p>
      <w:pPr>
        <w:pStyle w:val="20"/>
        <w:ind w:left="0" w:leftChars="0" w:firstLine="482"/>
        <w:rPr>
          <w:rFonts w:ascii="宋体" w:hAnsi="宋体" w:cs="宋体"/>
          <w:b/>
          <w:color w:val="auto"/>
          <w:sz w:val="24"/>
          <w:u w:val="thick" w:color="FF0000"/>
        </w:rPr>
      </w:pPr>
    </w:p>
    <w:p>
      <w:pPr>
        <w:snapToGrid w:val="0"/>
        <w:spacing w:line="360" w:lineRule="auto"/>
        <w:ind w:firstLine="487" w:firstLineChars="202"/>
        <w:rPr>
          <w:rFonts w:ascii="宋体" w:hAnsi="宋体" w:cs="宋体"/>
          <w:b/>
          <w:bCs/>
          <w:color w:val="auto"/>
          <w:sz w:val="24"/>
          <w:szCs w:val="24"/>
        </w:rPr>
      </w:pPr>
    </w:p>
    <w:p>
      <w:pPr>
        <w:spacing w:line="400" w:lineRule="exact"/>
        <w:rPr>
          <w:rFonts w:ascii="Arial" w:hAnsi="Arial" w:cs="Arial"/>
          <w:b/>
          <w:bCs/>
          <w:color w:val="auto"/>
          <w:sz w:val="24"/>
        </w:rPr>
      </w:pPr>
      <w:r>
        <w:rPr>
          <w:rFonts w:hint="eastAsia" w:ascii="Arial" w:hAnsi="Arial" w:cs="Arial"/>
          <w:b/>
          <w:bCs/>
          <w:color w:val="auto"/>
          <w:sz w:val="24"/>
        </w:rPr>
        <w:t>2、技术要求：</w:t>
      </w:r>
    </w:p>
    <w:p>
      <w:pPr>
        <w:spacing w:line="360" w:lineRule="auto"/>
        <w:rPr>
          <w:color w:val="auto"/>
          <w:sz w:val="24"/>
          <w:szCs w:val="24"/>
        </w:rPr>
      </w:pPr>
      <w:r>
        <w:rPr>
          <w:rFonts w:hint="eastAsia"/>
          <w:color w:val="auto"/>
          <w:sz w:val="24"/>
          <w:szCs w:val="24"/>
        </w:rPr>
        <w:t xml:space="preserve"> </w:t>
      </w:r>
      <w:r>
        <w:rPr>
          <w:color w:val="auto"/>
          <w:sz w:val="24"/>
          <w:szCs w:val="24"/>
        </w:rPr>
        <w:t xml:space="preserve">   </w:t>
      </w:r>
      <w:r>
        <w:rPr>
          <w:rFonts w:hint="eastAsia"/>
          <w:color w:val="auto"/>
          <w:sz w:val="24"/>
          <w:szCs w:val="24"/>
        </w:rPr>
        <w:t>需求项目为基于温度、压力和时间参数的物理方法，用于医院手术室消毒供应中心CSSD大型脉动真空灭菌器的检测。</w:t>
      </w:r>
    </w:p>
    <w:p>
      <w:pPr>
        <w:spacing w:line="360" w:lineRule="auto"/>
        <w:ind w:firstLine="480" w:firstLineChars="200"/>
        <w:rPr>
          <w:rFonts w:ascii="Arial" w:hAnsi="Arial" w:cs="Arial"/>
          <w:color w:val="auto"/>
          <w:sz w:val="24"/>
        </w:rPr>
      </w:pPr>
    </w:p>
    <w:p>
      <w:pPr>
        <w:spacing w:line="360" w:lineRule="auto"/>
        <w:ind w:firstLine="482" w:firstLineChars="200"/>
        <w:rPr>
          <w:rFonts w:ascii="Arial" w:hAnsi="Arial" w:cs="Arial"/>
          <w:b/>
          <w:color w:val="auto"/>
          <w:sz w:val="24"/>
        </w:rPr>
      </w:pPr>
      <w:r>
        <w:rPr>
          <w:rFonts w:hint="eastAsia" w:ascii="Arial" w:hAnsi="Arial" w:cs="Arial"/>
          <w:b/>
          <w:color w:val="auto"/>
          <w:sz w:val="24"/>
        </w:rPr>
        <w:t>2.1配置</w:t>
      </w:r>
    </w:p>
    <w:p>
      <w:pPr>
        <w:spacing w:line="360" w:lineRule="auto"/>
        <w:ind w:firstLine="480" w:firstLineChars="200"/>
        <w:rPr>
          <w:rFonts w:ascii="Arial" w:hAnsi="Arial" w:cs="Arial"/>
          <w:color w:val="auto"/>
          <w:sz w:val="24"/>
        </w:rPr>
      </w:pPr>
      <w:r>
        <w:rPr>
          <w:rFonts w:hint="eastAsia" w:ascii="Arial" w:hAnsi="Arial" w:cs="Arial"/>
          <w:color w:val="auto"/>
          <w:sz w:val="24"/>
        </w:rPr>
        <w:t>2.1.1专用物理参数载体×1套</w:t>
      </w:r>
    </w:p>
    <w:p>
      <w:pPr>
        <w:spacing w:line="360" w:lineRule="auto"/>
        <w:ind w:firstLine="480" w:firstLineChars="200"/>
        <w:rPr>
          <w:rFonts w:ascii="Arial" w:hAnsi="Arial" w:cs="Arial"/>
          <w:color w:val="auto"/>
          <w:sz w:val="24"/>
        </w:rPr>
      </w:pPr>
      <w:r>
        <w:rPr>
          <w:rFonts w:hint="eastAsia" w:ascii="Arial" w:hAnsi="Arial" w:cs="Arial"/>
          <w:color w:val="auto"/>
          <w:sz w:val="24"/>
        </w:rPr>
        <w:t>2.1.2标准负载包×3个</w:t>
      </w:r>
    </w:p>
    <w:p>
      <w:pPr>
        <w:spacing w:line="360" w:lineRule="auto"/>
        <w:ind w:firstLine="480" w:firstLineChars="200"/>
        <w:rPr>
          <w:rFonts w:ascii="Arial" w:hAnsi="Arial" w:cs="Arial"/>
          <w:color w:val="auto"/>
          <w:sz w:val="24"/>
        </w:rPr>
      </w:pPr>
      <w:r>
        <w:rPr>
          <w:rFonts w:hint="eastAsia" w:ascii="Arial" w:hAnsi="Arial" w:cs="Arial"/>
          <w:color w:val="auto"/>
          <w:sz w:val="24"/>
        </w:rPr>
        <w:t>2.1.3专用自动数据处理装置×1台</w:t>
      </w:r>
    </w:p>
    <w:p>
      <w:pPr>
        <w:spacing w:line="360" w:lineRule="auto"/>
        <w:ind w:firstLine="480" w:firstLineChars="200"/>
        <w:rPr>
          <w:rFonts w:ascii="Arial" w:hAnsi="Arial" w:cs="Arial"/>
          <w:color w:val="auto"/>
          <w:sz w:val="24"/>
        </w:rPr>
      </w:pPr>
      <w:r>
        <w:rPr>
          <w:rFonts w:hint="eastAsia" w:ascii="Arial" w:hAnsi="Arial" w:cs="Arial"/>
          <w:color w:val="auto"/>
          <w:sz w:val="24"/>
        </w:rPr>
        <w:t>2.1.4自动数据处理装置×1个</w:t>
      </w:r>
    </w:p>
    <w:p>
      <w:pPr>
        <w:spacing w:line="360" w:lineRule="auto"/>
        <w:ind w:firstLine="480" w:firstLineChars="200"/>
        <w:rPr>
          <w:rFonts w:ascii="Arial" w:hAnsi="Arial" w:cs="Arial"/>
          <w:color w:val="auto"/>
          <w:sz w:val="24"/>
        </w:rPr>
      </w:pPr>
      <w:r>
        <w:rPr>
          <w:rFonts w:hint="eastAsia" w:ascii="Arial" w:hAnsi="Arial" w:cs="Arial"/>
          <w:color w:val="auto"/>
          <w:sz w:val="24"/>
        </w:rPr>
        <w:t>2.1.5识标指示卡1套</w:t>
      </w:r>
    </w:p>
    <w:p>
      <w:pPr>
        <w:spacing w:line="360" w:lineRule="auto"/>
        <w:ind w:firstLine="480" w:firstLineChars="200"/>
        <w:rPr>
          <w:rFonts w:ascii="Arial" w:hAnsi="Arial" w:cs="Arial"/>
          <w:color w:val="auto"/>
          <w:sz w:val="24"/>
        </w:rPr>
      </w:pPr>
      <w:r>
        <w:rPr>
          <w:rFonts w:hint="eastAsia" w:ascii="Arial" w:hAnsi="Arial" w:cs="Arial"/>
          <w:color w:val="auto"/>
          <w:sz w:val="24"/>
        </w:rPr>
        <w:t>2.1.6专用支架1套</w:t>
      </w:r>
    </w:p>
    <w:p>
      <w:pPr>
        <w:spacing w:line="360" w:lineRule="auto"/>
        <w:ind w:firstLine="480" w:firstLineChars="200"/>
        <w:rPr>
          <w:rFonts w:ascii="Arial" w:hAnsi="Arial" w:cs="Arial"/>
          <w:color w:val="auto"/>
          <w:sz w:val="24"/>
        </w:rPr>
      </w:pPr>
      <w:r>
        <w:rPr>
          <w:rFonts w:hint="eastAsia" w:ascii="Arial" w:hAnsi="Arial" w:cs="Arial"/>
          <w:color w:val="auto"/>
          <w:sz w:val="24"/>
        </w:rPr>
        <w:t>2.1.7专用保护盒1套</w:t>
      </w:r>
    </w:p>
    <w:p>
      <w:pPr>
        <w:spacing w:line="360" w:lineRule="auto"/>
        <w:ind w:firstLine="480" w:firstLineChars="200"/>
        <w:rPr>
          <w:rFonts w:ascii="Arial" w:hAnsi="Arial" w:cs="Arial"/>
          <w:color w:val="auto"/>
          <w:sz w:val="24"/>
        </w:rPr>
      </w:pPr>
      <w:r>
        <w:rPr>
          <w:rFonts w:hint="eastAsia" w:ascii="Arial" w:hAnsi="Arial" w:cs="Arial"/>
          <w:color w:val="auto"/>
          <w:sz w:val="24"/>
        </w:rPr>
        <w:t>2.1.8固定轧带x</w:t>
      </w:r>
      <w:r>
        <w:rPr>
          <w:rFonts w:ascii="Arial" w:hAnsi="Arial" w:cs="Arial"/>
          <w:color w:val="auto"/>
          <w:sz w:val="24"/>
        </w:rPr>
        <w:t>7</w:t>
      </w:r>
      <w:r>
        <w:rPr>
          <w:rFonts w:hint="eastAsia" w:ascii="Arial" w:hAnsi="Arial" w:cs="Arial"/>
          <w:color w:val="auto"/>
          <w:sz w:val="24"/>
        </w:rPr>
        <w:t>只</w:t>
      </w:r>
    </w:p>
    <w:p>
      <w:pPr>
        <w:spacing w:line="360" w:lineRule="auto"/>
        <w:ind w:firstLine="480" w:firstLineChars="200"/>
        <w:rPr>
          <w:rFonts w:ascii="Arial" w:hAnsi="Arial" w:cs="Arial"/>
          <w:color w:val="auto"/>
          <w:sz w:val="24"/>
        </w:rPr>
      </w:pPr>
      <w:r>
        <w:rPr>
          <w:rFonts w:hint="eastAsia" w:ascii="Arial" w:hAnsi="Arial" w:cs="Arial"/>
          <w:color w:val="auto"/>
          <w:sz w:val="24"/>
        </w:rPr>
        <w:t>2.1.9专用软件×1套</w:t>
      </w:r>
    </w:p>
    <w:p>
      <w:pPr>
        <w:spacing w:line="360" w:lineRule="auto"/>
        <w:ind w:firstLine="480" w:firstLineChars="200"/>
        <w:rPr>
          <w:rFonts w:ascii="Arial" w:hAnsi="Arial" w:cs="Arial"/>
          <w:color w:val="auto"/>
          <w:sz w:val="24"/>
        </w:rPr>
      </w:pPr>
      <w:r>
        <w:rPr>
          <w:rFonts w:hint="eastAsia" w:ascii="Arial" w:hAnsi="Arial" w:cs="Arial"/>
          <w:color w:val="auto"/>
          <w:sz w:val="24"/>
        </w:rPr>
        <w:t>2.1.10计量证书×1套</w:t>
      </w:r>
    </w:p>
    <w:p>
      <w:pPr>
        <w:spacing w:line="360" w:lineRule="auto"/>
        <w:ind w:firstLine="480" w:firstLineChars="200"/>
        <w:rPr>
          <w:rFonts w:ascii="Arial" w:hAnsi="Arial" w:cs="Arial"/>
          <w:color w:val="auto"/>
          <w:sz w:val="24"/>
        </w:rPr>
      </w:pPr>
    </w:p>
    <w:p>
      <w:pPr>
        <w:spacing w:line="360" w:lineRule="auto"/>
        <w:ind w:firstLine="482" w:firstLineChars="200"/>
        <w:rPr>
          <w:rFonts w:ascii="Arial" w:hAnsi="Arial" w:cs="Arial"/>
          <w:b/>
          <w:color w:val="auto"/>
          <w:sz w:val="24"/>
        </w:rPr>
      </w:pPr>
      <w:r>
        <w:rPr>
          <w:rFonts w:hint="eastAsia" w:ascii="Arial" w:hAnsi="Arial" w:cs="Arial"/>
          <w:b/>
          <w:color w:val="auto"/>
          <w:sz w:val="24"/>
        </w:rPr>
        <w:t>2.2技术参数</w:t>
      </w:r>
    </w:p>
    <w:p>
      <w:pPr>
        <w:spacing w:line="360" w:lineRule="auto"/>
        <w:ind w:firstLine="480" w:firstLineChars="200"/>
        <w:rPr>
          <w:rFonts w:ascii="Arial" w:hAnsi="Arial" w:cs="Arial"/>
          <w:color w:val="auto"/>
          <w:sz w:val="24"/>
        </w:rPr>
      </w:pPr>
      <w:r>
        <w:rPr>
          <w:rFonts w:hint="eastAsia" w:ascii="Arial" w:hAnsi="Arial" w:cs="Arial"/>
          <w:color w:val="auto"/>
          <w:sz w:val="24"/>
        </w:rPr>
        <w:t>2.2.1 温度测量范围：（0～150）℃；</w:t>
      </w:r>
    </w:p>
    <w:p>
      <w:pPr>
        <w:spacing w:line="360" w:lineRule="auto"/>
        <w:ind w:firstLine="480" w:firstLineChars="200"/>
        <w:rPr>
          <w:rFonts w:ascii="Arial" w:hAnsi="Arial" w:cs="Arial"/>
          <w:color w:val="auto"/>
          <w:sz w:val="24"/>
        </w:rPr>
      </w:pPr>
      <w:r>
        <w:rPr>
          <w:rFonts w:hint="eastAsia" w:ascii="Arial" w:hAnsi="Arial" w:cs="Arial"/>
          <w:color w:val="auto"/>
          <w:sz w:val="24"/>
        </w:rPr>
        <w:t>2.2.</w:t>
      </w:r>
      <w:r>
        <w:rPr>
          <w:rFonts w:ascii="Arial" w:hAnsi="Arial" w:cs="Arial"/>
          <w:color w:val="auto"/>
          <w:sz w:val="24"/>
        </w:rPr>
        <w:t>2</w:t>
      </w:r>
      <w:r>
        <w:rPr>
          <w:rFonts w:hint="eastAsia" w:ascii="Arial" w:hAnsi="Arial" w:cs="Arial"/>
          <w:color w:val="auto"/>
          <w:sz w:val="24"/>
        </w:rPr>
        <w:t xml:space="preserve"> 温度最大允许误差：±0.05℃；</w:t>
      </w:r>
    </w:p>
    <w:p>
      <w:pPr>
        <w:spacing w:line="360" w:lineRule="auto"/>
        <w:ind w:firstLine="480" w:firstLineChars="200"/>
        <w:rPr>
          <w:rFonts w:ascii="Arial" w:hAnsi="Arial" w:cs="Arial"/>
          <w:color w:val="auto"/>
          <w:sz w:val="24"/>
        </w:rPr>
      </w:pPr>
      <w:r>
        <w:rPr>
          <w:rFonts w:hint="eastAsia" w:ascii="Arial" w:hAnsi="Arial" w:cs="Arial"/>
          <w:color w:val="auto"/>
          <w:sz w:val="24"/>
        </w:rPr>
        <w:t>2.2.3 温度分辨力：0.001℃；</w:t>
      </w:r>
    </w:p>
    <w:p>
      <w:pPr>
        <w:spacing w:line="360" w:lineRule="auto"/>
        <w:ind w:firstLine="480" w:firstLineChars="200"/>
        <w:rPr>
          <w:rFonts w:ascii="Arial" w:hAnsi="Arial" w:cs="Arial"/>
          <w:color w:val="auto"/>
          <w:sz w:val="24"/>
        </w:rPr>
      </w:pPr>
      <w:r>
        <w:rPr>
          <w:rFonts w:hint="eastAsia" w:ascii="Arial" w:hAnsi="Arial" w:cs="Arial"/>
          <w:color w:val="auto"/>
          <w:sz w:val="24"/>
        </w:rPr>
        <w:t>2.2.4 压力测量范围：(0～700) kPa；</w:t>
      </w:r>
    </w:p>
    <w:p>
      <w:pPr>
        <w:spacing w:line="360" w:lineRule="auto"/>
        <w:ind w:firstLine="480" w:firstLineChars="200"/>
        <w:rPr>
          <w:rFonts w:ascii="Arial" w:hAnsi="Arial" w:cs="Arial"/>
          <w:color w:val="auto"/>
          <w:sz w:val="24"/>
        </w:rPr>
      </w:pPr>
      <w:r>
        <w:rPr>
          <w:rFonts w:hint="eastAsia" w:ascii="Arial" w:hAnsi="Arial" w:cs="Arial"/>
          <w:color w:val="auto"/>
          <w:sz w:val="24"/>
        </w:rPr>
        <w:t>2.2.5 压力最大允许误差：±1kPa；</w:t>
      </w:r>
    </w:p>
    <w:p>
      <w:pPr>
        <w:spacing w:line="360" w:lineRule="auto"/>
        <w:ind w:firstLine="480" w:firstLineChars="200"/>
        <w:rPr>
          <w:rFonts w:ascii="Arial" w:hAnsi="Arial" w:cs="Arial"/>
          <w:color w:val="auto"/>
          <w:sz w:val="24"/>
        </w:rPr>
      </w:pPr>
      <w:r>
        <w:rPr>
          <w:rFonts w:hint="eastAsia" w:ascii="Arial" w:hAnsi="Arial" w:cs="Arial"/>
          <w:color w:val="auto"/>
          <w:sz w:val="24"/>
        </w:rPr>
        <w:t>2.2.6 压力分辨力：0.01kPa；</w:t>
      </w:r>
    </w:p>
    <w:p>
      <w:pPr>
        <w:spacing w:line="360" w:lineRule="auto"/>
        <w:ind w:firstLine="480" w:firstLineChars="200"/>
        <w:rPr>
          <w:rFonts w:ascii="Arial" w:hAnsi="Arial" w:cs="Arial"/>
          <w:color w:val="auto"/>
          <w:sz w:val="24"/>
        </w:rPr>
      </w:pPr>
      <w:r>
        <w:rPr>
          <w:rFonts w:hint="eastAsia" w:ascii="Arial" w:hAnsi="Arial" w:cs="Arial"/>
          <w:color w:val="auto"/>
          <w:sz w:val="24"/>
        </w:rPr>
        <w:t>2.2.7 验证系统不少于7个温度传感器和1个压力传感器；</w:t>
      </w:r>
    </w:p>
    <w:p>
      <w:pPr>
        <w:spacing w:line="360" w:lineRule="auto"/>
        <w:ind w:firstLine="480" w:firstLineChars="200"/>
        <w:rPr>
          <w:rFonts w:ascii="Arial" w:hAnsi="Arial" w:cs="Arial"/>
          <w:color w:val="auto"/>
          <w:sz w:val="24"/>
        </w:rPr>
      </w:pPr>
      <w:r>
        <w:rPr>
          <w:rFonts w:hint="eastAsia" w:ascii="Arial" w:hAnsi="Arial" w:cs="Arial"/>
          <w:color w:val="auto"/>
          <w:sz w:val="24"/>
        </w:rPr>
        <w:t>2.2.8 采集通道：8通道；</w:t>
      </w:r>
    </w:p>
    <w:p>
      <w:pPr>
        <w:spacing w:line="360" w:lineRule="auto"/>
        <w:ind w:firstLine="480" w:firstLineChars="200"/>
        <w:rPr>
          <w:rFonts w:ascii="Arial" w:hAnsi="Arial" w:cs="Arial"/>
          <w:color w:val="auto"/>
          <w:sz w:val="24"/>
        </w:rPr>
      </w:pPr>
      <w:r>
        <w:rPr>
          <w:rFonts w:hint="eastAsia" w:ascii="Arial" w:hAnsi="Arial" w:cs="Arial"/>
          <w:color w:val="auto"/>
          <w:sz w:val="24"/>
        </w:rPr>
        <w:t>2.2.9 温度探头长度：≥1m，温度探头直径：≤2mm；</w:t>
      </w:r>
    </w:p>
    <w:p>
      <w:pPr>
        <w:spacing w:line="360" w:lineRule="auto"/>
        <w:ind w:firstLine="480" w:firstLineChars="200"/>
        <w:rPr>
          <w:rFonts w:ascii="Arial" w:hAnsi="Arial" w:cs="Arial"/>
          <w:color w:val="auto"/>
          <w:sz w:val="24"/>
        </w:rPr>
      </w:pPr>
      <w:r>
        <w:rPr>
          <w:rFonts w:hint="eastAsia" w:ascii="Arial" w:hAnsi="Arial" w:cs="Arial"/>
          <w:color w:val="auto"/>
          <w:sz w:val="24"/>
        </w:rPr>
        <w:t>★2.2.10 温度探头材质：非金属柔性探头；</w:t>
      </w:r>
    </w:p>
    <w:p>
      <w:pPr>
        <w:spacing w:line="360" w:lineRule="auto"/>
        <w:ind w:firstLine="480" w:firstLineChars="200"/>
        <w:rPr>
          <w:rFonts w:ascii="Arial" w:hAnsi="Arial" w:cs="Arial"/>
          <w:color w:val="auto"/>
          <w:sz w:val="24"/>
        </w:rPr>
      </w:pPr>
      <w:r>
        <w:rPr>
          <w:rFonts w:hint="eastAsia" w:ascii="Arial" w:hAnsi="Arial" w:cs="Arial"/>
          <w:color w:val="auto"/>
          <w:sz w:val="24"/>
        </w:rPr>
        <w:t>2.2.11 探头密封性：满足在最高150℃的饱和蒸汽压力环境下；</w:t>
      </w:r>
    </w:p>
    <w:p>
      <w:pPr>
        <w:spacing w:line="360" w:lineRule="auto"/>
        <w:ind w:firstLine="480" w:firstLineChars="200"/>
        <w:rPr>
          <w:rFonts w:ascii="Arial" w:hAnsi="Arial" w:cs="Arial"/>
          <w:color w:val="auto"/>
          <w:sz w:val="24"/>
        </w:rPr>
      </w:pPr>
      <w:r>
        <w:rPr>
          <w:rFonts w:hint="eastAsia" w:ascii="Arial" w:hAnsi="Arial" w:cs="Arial"/>
          <w:color w:val="auto"/>
          <w:sz w:val="24"/>
        </w:rPr>
        <w:t>2.2.12 电池类型：耐高温锂电池；</w:t>
      </w:r>
    </w:p>
    <w:p>
      <w:pPr>
        <w:spacing w:line="360" w:lineRule="auto"/>
        <w:ind w:firstLine="480" w:firstLineChars="200"/>
        <w:rPr>
          <w:rFonts w:ascii="Arial" w:hAnsi="Arial" w:cs="Arial"/>
          <w:color w:val="auto"/>
          <w:sz w:val="24"/>
        </w:rPr>
      </w:pPr>
      <w:r>
        <w:rPr>
          <w:rFonts w:hint="eastAsia" w:ascii="Arial" w:hAnsi="Arial" w:cs="Arial"/>
          <w:color w:val="auto"/>
          <w:sz w:val="24"/>
        </w:rPr>
        <w:t>2.2.1</w:t>
      </w:r>
      <w:r>
        <w:rPr>
          <w:rFonts w:ascii="Arial" w:hAnsi="Arial" w:cs="Arial"/>
          <w:color w:val="auto"/>
          <w:sz w:val="24"/>
        </w:rPr>
        <w:t>3</w:t>
      </w:r>
      <w:r>
        <w:rPr>
          <w:rFonts w:hint="eastAsia" w:ascii="Arial" w:hAnsi="Arial" w:cs="Arial"/>
          <w:color w:val="auto"/>
          <w:sz w:val="24"/>
        </w:rPr>
        <w:t xml:space="preserve"> 承压：2MPa；</w:t>
      </w:r>
    </w:p>
    <w:p>
      <w:pPr>
        <w:spacing w:line="360" w:lineRule="auto"/>
        <w:ind w:firstLine="480" w:firstLineChars="200"/>
        <w:rPr>
          <w:rFonts w:ascii="Arial" w:hAnsi="Arial" w:cs="Arial"/>
          <w:color w:val="auto"/>
          <w:sz w:val="24"/>
        </w:rPr>
      </w:pPr>
      <w:r>
        <w:rPr>
          <w:rFonts w:hint="eastAsia" w:ascii="Arial" w:hAnsi="Arial" w:cs="Arial"/>
          <w:color w:val="auto"/>
          <w:sz w:val="24"/>
        </w:rPr>
        <w:t>2.2.1</w:t>
      </w:r>
      <w:r>
        <w:rPr>
          <w:rFonts w:ascii="Arial" w:hAnsi="Arial" w:cs="Arial"/>
          <w:color w:val="auto"/>
          <w:sz w:val="24"/>
        </w:rPr>
        <w:t>4</w:t>
      </w:r>
      <w:r>
        <w:rPr>
          <w:rFonts w:hint="eastAsia" w:ascii="Arial" w:hAnsi="Arial" w:cs="Arial"/>
          <w:color w:val="auto"/>
          <w:sz w:val="24"/>
        </w:rPr>
        <w:t>主机材质：医用不锈钢和PEEK；</w:t>
      </w:r>
    </w:p>
    <w:p>
      <w:pPr>
        <w:spacing w:line="360" w:lineRule="auto"/>
        <w:ind w:firstLine="480" w:firstLineChars="200"/>
        <w:rPr>
          <w:rFonts w:ascii="Arial" w:hAnsi="Arial" w:cs="Arial"/>
          <w:color w:val="auto"/>
          <w:sz w:val="24"/>
        </w:rPr>
      </w:pPr>
      <w:r>
        <w:rPr>
          <w:rFonts w:hint="eastAsia" w:ascii="Arial" w:hAnsi="Arial" w:cs="Arial"/>
          <w:color w:val="auto"/>
          <w:sz w:val="24"/>
        </w:rPr>
        <w:t>2.2.1</w:t>
      </w:r>
      <w:r>
        <w:rPr>
          <w:rFonts w:ascii="Arial" w:hAnsi="Arial" w:cs="Arial"/>
          <w:color w:val="auto"/>
          <w:sz w:val="24"/>
        </w:rPr>
        <w:t>5</w:t>
      </w:r>
      <w:r>
        <w:rPr>
          <w:rFonts w:hint="eastAsia" w:ascii="Arial" w:hAnsi="Arial" w:cs="Arial"/>
          <w:color w:val="auto"/>
          <w:sz w:val="24"/>
        </w:rPr>
        <w:t>主机尺寸：≤Φ47 mm x25 mm；</w:t>
      </w:r>
    </w:p>
    <w:p>
      <w:pPr>
        <w:spacing w:line="360" w:lineRule="auto"/>
        <w:ind w:firstLine="480" w:firstLineChars="200"/>
        <w:rPr>
          <w:rFonts w:ascii="Arial" w:hAnsi="Arial" w:cs="Arial"/>
          <w:color w:val="auto"/>
          <w:sz w:val="24"/>
        </w:rPr>
      </w:pPr>
      <w:r>
        <w:rPr>
          <w:rFonts w:hint="eastAsia" w:ascii="Arial" w:hAnsi="Arial" w:cs="Arial"/>
          <w:color w:val="auto"/>
          <w:sz w:val="24"/>
        </w:rPr>
        <w:t>2.2.1</w:t>
      </w:r>
      <w:r>
        <w:rPr>
          <w:rFonts w:ascii="Arial" w:hAnsi="Arial" w:cs="Arial"/>
          <w:color w:val="auto"/>
          <w:sz w:val="24"/>
        </w:rPr>
        <w:t xml:space="preserve">6 </w:t>
      </w:r>
      <w:r>
        <w:rPr>
          <w:rFonts w:hint="eastAsia" w:ascii="Arial" w:hAnsi="Arial" w:cs="Arial"/>
          <w:color w:val="auto"/>
          <w:sz w:val="24"/>
        </w:rPr>
        <w:t>探头色标识别：7色与软件图例颜色一致；</w:t>
      </w:r>
    </w:p>
    <w:p>
      <w:pPr>
        <w:spacing w:line="360" w:lineRule="auto"/>
        <w:ind w:firstLine="480" w:firstLineChars="200"/>
        <w:rPr>
          <w:rFonts w:ascii="Arial" w:hAnsi="Arial" w:cs="Arial"/>
          <w:color w:val="auto"/>
          <w:sz w:val="24"/>
        </w:rPr>
      </w:pPr>
      <w:r>
        <w:rPr>
          <w:rFonts w:hint="eastAsia" w:ascii="Arial" w:hAnsi="Arial" w:cs="Arial"/>
          <w:color w:val="auto"/>
          <w:sz w:val="24"/>
        </w:rPr>
        <w:t>2.2.1</w:t>
      </w:r>
      <w:r>
        <w:rPr>
          <w:rFonts w:ascii="Arial" w:hAnsi="Arial" w:cs="Arial"/>
          <w:color w:val="auto"/>
          <w:sz w:val="24"/>
        </w:rPr>
        <w:t>7</w:t>
      </w:r>
      <w:r>
        <w:rPr>
          <w:rFonts w:hint="eastAsia" w:ascii="Arial" w:hAnsi="Arial" w:cs="Arial"/>
          <w:color w:val="auto"/>
          <w:sz w:val="24"/>
        </w:rPr>
        <w:t xml:space="preserve"> 温度探头类型：Pt1000；</w:t>
      </w:r>
    </w:p>
    <w:p>
      <w:pPr>
        <w:spacing w:line="360" w:lineRule="auto"/>
        <w:ind w:firstLine="480" w:firstLineChars="200"/>
        <w:rPr>
          <w:rFonts w:ascii="Arial" w:hAnsi="Arial" w:cs="Arial"/>
          <w:color w:val="auto"/>
          <w:sz w:val="24"/>
        </w:rPr>
      </w:pPr>
      <w:r>
        <w:rPr>
          <w:rFonts w:hint="eastAsia" w:ascii="Arial" w:hAnsi="Arial" w:cs="Arial"/>
          <w:color w:val="auto"/>
          <w:sz w:val="24"/>
        </w:rPr>
        <w:t>2.2.1</w:t>
      </w:r>
      <w:r>
        <w:rPr>
          <w:rFonts w:ascii="Arial" w:hAnsi="Arial" w:cs="Arial"/>
          <w:color w:val="auto"/>
          <w:sz w:val="24"/>
        </w:rPr>
        <w:t>8</w:t>
      </w:r>
      <w:r>
        <w:rPr>
          <w:rFonts w:hint="eastAsia" w:ascii="Arial" w:hAnsi="Arial" w:cs="Arial"/>
          <w:color w:val="auto"/>
          <w:sz w:val="24"/>
        </w:rPr>
        <w:t xml:space="preserve"> 压力探头类型：压阻；</w:t>
      </w:r>
    </w:p>
    <w:p>
      <w:pPr>
        <w:spacing w:line="360" w:lineRule="auto"/>
        <w:ind w:firstLine="480" w:firstLineChars="200"/>
        <w:rPr>
          <w:rFonts w:ascii="Arial" w:hAnsi="Arial" w:cs="Arial"/>
          <w:color w:val="auto"/>
          <w:sz w:val="24"/>
        </w:rPr>
      </w:pPr>
      <w:r>
        <w:rPr>
          <w:rFonts w:hint="eastAsia" w:ascii="Arial" w:hAnsi="Arial" w:cs="Arial"/>
          <w:color w:val="auto"/>
          <w:sz w:val="24"/>
        </w:rPr>
        <w:t>2.2.</w:t>
      </w:r>
      <w:r>
        <w:rPr>
          <w:rFonts w:ascii="Arial" w:hAnsi="Arial" w:cs="Arial"/>
          <w:color w:val="auto"/>
          <w:sz w:val="24"/>
        </w:rPr>
        <w:t>19</w:t>
      </w:r>
      <w:r>
        <w:rPr>
          <w:rFonts w:hint="eastAsia" w:ascii="Arial" w:hAnsi="Arial" w:cs="Arial"/>
          <w:color w:val="auto"/>
          <w:sz w:val="24"/>
        </w:rPr>
        <w:t>专用支架：医用不锈钢，可拆卸及清洗，表面光滑；</w:t>
      </w:r>
    </w:p>
    <w:p>
      <w:pPr>
        <w:spacing w:line="360" w:lineRule="auto"/>
        <w:ind w:firstLine="480" w:firstLineChars="200"/>
        <w:rPr>
          <w:rFonts w:ascii="Arial" w:hAnsi="Arial" w:cs="Arial"/>
          <w:color w:val="auto"/>
          <w:sz w:val="24"/>
        </w:rPr>
      </w:pPr>
      <w:r>
        <w:rPr>
          <w:rFonts w:hint="eastAsia" w:ascii="Arial" w:hAnsi="Arial" w:cs="Arial"/>
          <w:color w:val="auto"/>
          <w:sz w:val="24"/>
        </w:rPr>
        <w:t>2.2.</w:t>
      </w:r>
      <w:r>
        <w:rPr>
          <w:rFonts w:ascii="Arial" w:hAnsi="Arial" w:cs="Arial"/>
          <w:color w:val="auto"/>
          <w:sz w:val="24"/>
        </w:rPr>
        <w:t>20</w:t>
      </w:r>
      <w:r>
        <w:rPr>
          <w:rFonts w:hint="eastAsia" w:ascii="Arial" w:hAnsi="Arial" w:cs="Arial"/>
          <w:color w:val="auto"/>
          <w:sz w:val="24"/>
        </w:rPr>
        <w:t>专用保护盒：保护盒材质：硅橡胶，保护盒通道：8通道；</w:t>
      </w:r>
    </w:p>
    <w:p>
      <w:pPr>
        <w:spacing w:line="360" w:lineRule="auto"/>
        <w:ind w:firstLine="480" w:firstLineChars="200"/>
        <w:rPr>
          <w:rFonts w:ascii="Arial" w:hAnsi="Arial" w:cs="Arial"/>
          <w:color w:val="auto"/>
          <w:sz w:val="24"/>
        </w:rPr>
      </w:pPr>
      <w:r>
        <w:rPr>
          <w:rFonts w:hint="eastAsia" w:ascii="Arial" w:hAnsi="Arial" w:cs="Arial"/>
          <w:color w:val="auto"/>
          <w:sz w:val="24"/>
        </w:rPr>
        <w:t>2.2.</w:t>
      </w:r>
      <w:r>
        <w:rPr>
          <w:rFonts w:ascii="Arial" w:hAnsi="Arial" w:cs="Arial"/>
          <w:color w:val="auto"/>
          <w:sz w:val="24"/>
        </w:rPr>
        <w:t>21</w:t>
      </w:r>
      <w:r>
        <w:rPr>
          <w:rFonts w:hint="eastAsia" w:ascii="Arial" w:hAnsi="Arial" w:cs="Arial"/>
          <w:color w:val="auto"/>
          <w:sz w:val="24"/>
        </w:rPr>
        <w:t>固定扎带：卫生型材质，可重复使用，也可组合使用；</w:t>
      </w:r>
    </w:p>
    <w:p>
      <w:pPr>
        <w:spacing w:line="360" w:lineRule="auto"/>
        <w:ind w:firstLine="480" w:firstLineChars="200"/>
        <w:rPr>
          <w:rFonts w:ascii="Arial" w:hAnsi="Arial" w:cs="Arial"/>
          <w:color w:val="auto"/>
          <w:sz w:val="24"/>
        </w:rPr>
      </w:pPr>
      <w:r>
        <w:rPr>
          <w:rFonts w:hint="eastAsia" w:ascii="Arial" w:hAnsi="Arial" w:cs="Arial"/>
          <w:color w:val="auto"/>
          <w:sz w:val="24"/>
        </w:rPr>
        <w:t>2.2.</w:t>
      </w:r>
      <w:r>
        <w:rPr>
          <w:rFonts w:ascii="Arial" w:hAnsi="Arial" w:cs="Arial"/>
          <w:color w:val="auto"/>
          <w:sz w:val="24"/>
        </w:rPr>
        <w:t>22</w:t>
      </w:r>
      <w:r>
        <w:rPr>
          <w:rFonts w:hint="eastAsia" w:ascii="Arial" w:hAnsi="Arial" w:cs="Arial"/>
          <w:color w:val="auto"/>
          <w:sz w:val="24"/>
        </w:rPr>
        <w:t>标准模拟包</w:t>
      </w:r>
      <w:r>
        <w:rPr>
          <w:rFonts w:ascii="Arial" w:hAnsi="Arial" w:cs="Arial"/>
          <w:color w:val="auto"/>
          <w:sz w:val="24"/>
        </w:rPr>
        <w:t>3</w:t>
      </w:r>
      <w:r>
        <w:rPr>
          <w:rFonts w:hint="eastAsia" w:ascii="Arial" w:hAnsi="Arial" w:cs="Arial"/>
          <w:color w:val="auto"/>
          <w:sz w:val="24"/>
        </w:rPr>
        <w:t>个</w:t>
      </w:r>
    </w:p>
    <w:p>
      <w:pPr>
        <w:spacing w:line="360" w:lineRule="auto"/>
        <w:ind w:firstLine="480" w:firstLineChars="200"/>
        <w:rPr>
          <w:rFonts w:ascii="Arial" w:hAnsi="Arial" w:cs="Arial"/>
          <w:color w:val="auto"/>
          <w:sz w:val="24"/>
        </w:rPr>
      </w:pPr>
      <w:r>
        <w:rPr>
          <w:rFonts w:hint="eastAsia" w:ascii="Arial" w:hAnsi="Arial" w:cs="Arial"/>
          <w:color w:val="auto"/>
          <w:sz w:val="24"/>
        </w:rPr>
        <w:t>1）模拟包穿透能力:7kg；</w:t>
      </w:r>
    </w:p>
    <w:p>
      <w:pPr>
        <w:spacing w:line="360" w:lineRule="auto"/>
        <w:ind w:firstLine="480" w:firstLineChars="200"/>
        <w:rPr>
          <w:rFonts w:ascii="Arial" w:hAnsi="Arial" w:cs="Arial"/>
          <w:color w:val="auto"/>
          <w:sz w:val="24"/>
        </w:rPr>
      </w:pPr>
      <w:r>
        <w:rPr>
          <w:rFonts w:hint="eastAsia" w:ascii="Arial" w:hAnsi="Arial" w:cs="Arial"/>
          <w:color w:val="auto"/>
          <w:sz w:val="24"/>
        </w:rPr>
        <w:t>2）模拟包材质：卫生型材质，并满足GB8599及WS310规范要求；</w:t>
      </w:r>
    </w:p>
    <w:p>
      <w:pPr>
        <w:spacing w:line="360" w:lineRule="auto"/>
        <w:ind w:firstLine="480" w:firstLineChars="200"/>
        <w:rPr>
          <w:rFonts w:ascii="Arial" w:hAnsi="Arial" w:cs="Arial"/>
          <w:color w:val="auto"/>
          <w:sz w:val="24"/>
        </w:rPr>
      </w:pPr>
      <w:r>
        <w:rPr>
          <w:rFonts w:hint="eastAsia" w:ascii="Arial" w:hAnsi="Arial" w:cs="Arial"/>
          <w:color w:val="auto"/>
          <w:sz w:val="24"/>
        </w:rPr>
        <w:t>2.2.</w:t>
      </w:r>
      <w:r>
        <w:rPr>
          <w:rFonts w:ascii="Arial" w:hAnsi="Arial" w:cs="Arial"/>
          <w:color w:val="auto"/>
          <w:sz w:val="24"/>
        </w:rPr>
        <w:t>23</w:t>
      </w:r>
      <w:r>
        <w:rPr>
          <w:rFonts w:hint="eastAsia" w:ascii="Arial" w:hAnsi="Arial" w:cs="Arial"/>
          <w:color w:val="auto"/>
          <w:sz w:val="24"/>
        </w:rPr>
        <w:t>自动数据处理装置1台</w:t>
      </w:r>
    </w:p>
    <w:p>
      <w:pPr>
        <w:spacing w:line="360" w:lineRule="auto"/>
        <w:ind w:firstLine="480" w:firstLineChars="200"/>
        <w:rPr>
          <w:rFonts w:ascii="Arial" w:hAnsi="Arial" w:cs="Arial"/>
          <w:color w:val="auto"/>
          <w:sz w:val="24"/>
        </w:rPr>
      </w:pPr>
      <w:r>
        <w:rPr>
          <w:rFonts w:hint="eastAsia" w:ascii="Arial" w:hAnsi="Arial" w:cs="Arial"/>
          <w:color w:val="auto"/>
          <w:sz w:val="24"/>
        </w:rPr>
        <w:t>自动数据处理设备功能采用无线射频技术实现无线读取数据与转换；</w:t>
      </w:r>
    </w:p>
    <w:p>
      <w:pPr>
        <w:spacing w:line="360" w:lineRule="auto"/>
        <w:ind w:firstLine="480" w:firstLineChars="200"/>
        <w:rPr>
          <w:rFonts w:ascii="Arial" w:hAnsi="Arial" w:cs="Arial"/>
          <w:color w:val="auto"/>
          <w:sz w:val="24"/>
        </w:rPr>
      </w:pPr>
      <w:r>
        <w:rPr>
          <w:rFonts w:hint="eastAsia" w:ascii="Arial" w:hAnsi="Arial" w:cs="Arial"/>
          <w:color w:val="auto"/>
          <w:sz w:val="24"/>
        </w:rPr>
        <w:t>2.2.</w:t>
      </w:r>
      <w:r>
        <w:rPr>
          <w:rFonts w:ascii="Arial" w:hAnsi="Arial" w:cs="Arial"/>
          <w:color w:val="auto"/>
          <w:sz w:val="24"/>
        </w:rPr>
        <w:t>24</w:t>
      </w:r>
      <w:r>
        <w:rPr>
          <w:rFonts w:hint="eastAsia" w:ascii="Arial" w:hAnsi="Arial" w:cs="Arial"/>
          <w:color w:val="auto"/>
          <w:sz w:val="24"/>
        </w:rPr>
        <w:t>专用软件 1套</w:t>
      </w:r>
    </w:p>
    <w:p>
      <w:pPr>
        <w:spacing w:line="360" w:lineRule="auto"/>
        <w:ind w:firstLine="480" w:firstLineChars="200"/>
        <w:rPr>
          <w:rFonts w:ascii="Arial" w:hAnsi="Arial" w:cs="Arial"/>
          <w:color w:val="auto"/>
          <w:sz w:val="24"/>
        </w:rPr>
      </w:pPr>
      <w:r>
        <w:rPr>
          <w:rFonts w:hint="eastAsia" w:ascii="Arial" w:hAnsi="Arial" w:cs="Arial"/>
          <w:color w:val="auto"/>
          <w:sz w:val="24"/>
        </w:rPr>
        <w:t>1）具有医用大型蒸汽灭菌锅物理参数检测专用模块功能；</w:t>
      </w:r>
    </w:p>
    <w:p>
      <w:pPr>
        <w:spacing w:line="360" w:lineRule="auto"/>
        <w:ind w:firstLine="480" w:firstLineChars="200"/>
        <w:rPr>
          <w:rFonts w:ascii="Arial" w:hAnsi="Arial" w:cs="Arial"/>
          <w:color w:val="auto"/>
          <w:sz w:val="24"/>
        </w:rPr>
      </w:pPr>
      <w:r>
        <w:rPr>
          <w:rFonts w:hint="eastAsia" w:ascii="Arial" w:hAnsi="Arial" w:cs="Arial"/>
          <w:color w:val="auto"/>
          <w:sz w:val="24"/>
        </w:rPr>
        <w:t>2）具有医用大型蒸汽灭菌锅外来器械的物理参数检测专用模块功能；</w:t>
      </w:r>
    </w:p>
    <w:p>
      <w:pPr>
        <w:spacing w:line="360" w:lineRule="auto"/>
        <w:ind w:firstLine="480" w:firstLineChars="200"/>
        <w:rPr>
          <w:rFonts w:ascii="Arial" w:hAnsi="Arial" w:cs="Arial"/>
          <w:color w:val="auto"/>
          <w:sz w:val="24"/>
        </w:rPr>
      </w:pPr>
      <w:r>
        <w:rPr>
          <w:rFonts w:hint="eastAsia" w:ascii="Arial" w:hAnsi="Arial" w:cs="Arial"/>
          <w:color w:val="auto"/>
          <w:sz w:val="24"/>
        </w:rPr>
        <w:t>3）可实现医用清洗消毒机的物理参数检测专用模块功能；</w:t>
      </w:r>
    </w:p>
    <w:p>
      <w:pPr>
        <w:spacing w:line="360" w:lineRule="auto"/>
        <w:ind w:firstLine="480" w:firstLineChars="200"/>
        <w:rPr>
          <w:rFonts w:ascii="Arial" w:hAnsi="Arial" w:cs="Arial"/>
          <w:color w:val="auto"/>
          <w:sz w:val="24"/>
        </w:rPr>
      </w:pPr>
      <w:r>
        <w:rPr>
          <w:rFonts w:hint="eastAsia" w:ascii="Arial" w:hAnsi="Arial" w:cs="Arial"/>
          <w:color w:val="auto"/>
          <w:sz w:val="24"/>
        </w:rPr>
        <w:t>4）自动分析计算均匀性，平均温度，灭菌时间，平衡时间，理论蒸汽温度，平均压力等参数；</w:t>
      </w:r>
    </w:p>
    <w:p>
      <w:pPr>
        <w:spacing w:line="360" w:lineRule="auto"/>
        <w:ind w:firstLine="480" w:firstLineChars="200"/>
        <w:rPr>
          <w:rFonts w:ascii="Arial" w:hAnsi="Arial" w:cs="Arial"/>
          <w:color w:val="auto"/>
          <w:sz w:val="24"/>
        </w:rPr>
      </w:pPr>
      <w:r>
        <w:rPr>
          <w:rFonts w:hint="eastAsia" w:ascii="Arial" w:hAnsi="Arial" w:cs="Arial"/>
          <w:color w:val="auto"/>
          <w:sz w:val="24"/>
        </w:rPr>
        <w:t>5）可生成PDF报告；</w:t>
      </w:r>
    </w:p>
    <w:p>
      <w:pPr>
        <w:spacing w:line="360" w:lineRule="auto"/>
        <w:ind w:firstLine="480" w:firstLineChars="200"/>
        <w:rPr>
          <w:rFonts w:ascii="Arial" w:hAnsi="Arial" w:cs="Arial"/>
          <w:color w:val="auto"/>
          <w:sz w:val="24"/>
        </w:rPr>
      </w:pPr>
      <w:r>
        <w:rPr>
          <w:rFonts w:hint="eastAsia" w:ascii="Arial" w:hAnsi="Arial" w:cs="Arial"/>
          <w:color w:val="auto"/>
          <w:sz w:val="24"/>
        </w:rPr>
        <w:t>6）报告中具有整体数据曲线图，灭菌平台曲线图，平衡阶段曲线；</w:t>
      </w:r>
    </w:p>
    <w:p>
      <w:pPr>
        <w:spacing w:line="360" w:lineRule="auto"/>
        <w:ind w:firstLine="480" w:firstLineChars="200"/>
        <w:rPr>
          <w:rFonts w:ascii="Arial" w:hAnsi="Arial" w:cs="Arial"/>
          <w:color w:val="auto"/>
          <w:sz w:val="24"/>
        </w:rPr>
      </w:pPr>
      <w:r>
        <w:rPr>
          <w:rFonts w:hint="eastAsia" w:ascii="Arial" w:hAnsi="Arial" w:cs="Arial"/>
          <w:color w:val="auto"/>
          <w:sz w:val="24"/>
        </w:rPr>
        <w:t>7）报告中具有不满足GB8599和WS310规范要求的数据标注，并特殊标注标识出数据；</w:t>
      </w:r>
    </w:p>
    <w:p>
      <w:pPr>
        <w:spacing w:line="360" w:lineRule="auto"/>
        <w:ind w:firstLine="480" w:firstLineChars="200"/>
        <w:rPr>
          <w:rFonts w:ascii="Arial" w:hAnsi="Arial" w:cs="Arial"/>
          <w:color w:val="auto"/>
          <w:sz w:val="24"/>
        </w:rPr>
      </w:pPr>
      <w:r>
        <w:rPr>
          <w:rFonts w:hint="eastAsia" w:ascii="Arial" w:hAnsi="Arial" w:cs="Arial"/>
          <w:color w:val="auto"/>
          <w:sz w:val="24"/>
        </w:rPr>
        <w:t>8 )报告中对不满足GB8599和WS310规范要求的数据进行自动分析，并能说明不满足规范中的具体原因和结论；</w:t>
      </w:r>
    </w:p>
    <w:p>
      <w:pPr>
        <w:spacing w:line="360" w:lineRule="auto"/>
        <w:ind w:firstLine="480" w:firstLineChars="200"/>
        <w:rPr>
          <w:rFonts w:ascii="Arial" w:hAnsi="Arial" w:cs="Arial"/>
          <w:color w:val="auto"/>
          <w:sz w:val="24"/>
        </w:rPr>
      </w:pPr>
      <w:r>
        <w:rPr>
          <w:rFonts w:hint="eastAsia" w:ascii="Arial" w:hAnsi="Arial" w:cs="Arial"/>
          <w:color w:val="auto"/>
          <w:sz w:val="24"/>
        </w:rPr>
        <w:t>9）报告中要明确标识出GB8599和WS310规范要求的参考范围；</w:t>
      </w:r>
    </w:p>
    <w:p>
      <w:pPr>
        <w:spacing w:line="360" w:lineRule="auto"/>
        <w:ind w:firstLine="480" w:firstLineChars="200"/>
        <w:rPr>
          <w:rFonts w:ascii="Arial" w:hAnsi="Arial" w:cs="Arial"/>
          <w:color w:val="auto"/>
          <w:sz w:val="24"/>
        </w:rPr>
      </w:pPr>
      <w:r>
        <w:rPr>
          <w:rFonts w:ascii="Arial" w:hAnsi="Arial" w:cs="Arial"/>
          <w:color w:val="auto"/>
          <w:sz w:val="24"/>
        </w:rPr>
        <w:t>2.3</w:t>
      </w:r>
      <w:r>
        <w:rPr>
          <w:rFonts w:hint="eastAsia" w:ascii="Arial" w:hAnsi="Arial" w:cs="Arial"/>
          <w:color w:val="auto"/>
          <w:sz w:val="24"/>
        </w:rPr>
        <w:t xml:space="preserve"> 交货验收需提供省级以上法定计量技术机构计量校准证书。</w:t>
      </w:r>
    </w:p>
    <w:p>
      <w:pPr>
        <w:spacing w:line="400" w:lineRule="exact"/>
        <w:rPr>
          <w:rFonts w:ascii="Calibri" w:hAnsi="Calibri"/>
          <w:color w:val="auto"/>
          <w:sz w:val="24"/>
        </w:rPr>
      </w:pPr>
    </w:p>
    <w:p>
      <w:pPr>
        <w:autoSpaceDE w:val="0"/>
        <w:autoSpaceDN w:val="0"/>
        <w:spacing w:line="360" w:lineRule="auto"/>
        <w:rPr>
          <w:rFonts w:ascii="Arial" w:hAnsi="Arial" w:cs="Arial"/>
          <w:color w:val="auto"/>
          <w:sz w:val="24"/>
        </w:rPr>
      </w:pPr>
      <w:r>
        <w:rPr>
          <w:rFonts w:hint="eastAsia" w:ascii="Arial" w:hAnsi="Arial" w:cs="Arial"/>
          <w:color w:val="auto"/>
          <w:sz w:val="24"/>
        </w:rPr>
        <w:t>3、</w:t>
      </w:r>
      <w:r>
        <w:rPr>
          <w:rFonts w:hint="eastAsia" w:ascii="Arial" w:hAnsi="Arial" w:cs="Arial"/>
          <w:b/>
          <w:bCs/>
          <w:color w:val="auto"/>
          <w:sz w:val="24"/>
        </w:rPr>
        <w:t>付款及质保期</w:t>
      </w:r>
    </w:p>
    <w:p>
      <w:pPr>
        <w:spacing w:line="360" w:lineRule="auto"/>
        <w:ind w:firstLine="480" w:firstLineChars="200"/>
        <w:rPr>
          <w:rFonts w:ascii="Arial" w:hAnsi="Arial" w:cs="Arial"/>
          <w:color w:val="auto"/>
          <w:sz w:val="24"/>
        </w:rPr>
      </w:pPr>
      <w:r>
        <w:rPr>
          <w:rFonts w:hint="eastAsia" w:ascii="Arial" w:hAnsi="Arial" w:cs="Arial"/>
          <w:color w:val="auto"/>
          <w:sz w:val="24"/>
        </w:rPr>
        <w:t>（1）结款时，供应商须提供全部签收手续和明细，不能提供签收手续的部分，我方有权不予结款。</w:t>
      </w:r>
    </w:p>
    <w:p>
      <w:pPr>
        <w:spacing w:line="360" w:lineRule="auto"/>
        <w:ind w:firstLine="480" w:firstLineChars="200"/>
        <w:rPr>
          <w:rFonts w:ascii="Arial" w:hAnsi="Arial" w:cs="Arial"/>
          <w:color w:val="auto"/>
          <w:sz w:val="24"/>
        </w:rPr>
      </w:pPr>
      <w:r>
        <w:rPr>
          <w:rFonts w:hint="eastAsia" w:ascii="Arial" w:hAnsi="Arial" w:cs="Arial"/>
          <w:color w:val="auto"/>
          <w:sz w:val="24"/>
        </w:rPr>
        <w:t>（2）</w:t>
      </w:r>
      <w:r>
        <w:rPr>
          <w:rFonts w:hint="eastAsia" w:ascii="宋体" w:hAnsi="宋体" w:eastAsia="宋体" w:cs="宋体"/>
          <w:color w:val="auto"/>
          <w:sz w:val="24"/>
          <w:szCs w:val="24"/>
        </w:rPr>
        <w:t>签订合同后10日内，甲方预付合同价的30%，货到现场验收合格后乙方将合同价的10%以质保金的形式汇入甲方往来账户（质保金于质保期满无质量问题一个月内返还，不计息）同时甲方支付到100%。</w:t>
      </w:r>
    </w:p>
    <w:p>
      <w:pPr>
        <w:spacing w:line="360" w:lineRule="auto"/>
        <w:ind w:firstLine="480" w:firstLineChars="200"/>
        <w:rPr>
          <w:rFonts w:ascii="Arial" w:hAnsi="Arial" w:cs="Arial"/>
          <w:color w:val="auto"/>
          <w:sz w:val="24"/>
        </w:rPr>
      </w:pPr>
      <w:r>
        <w:rPr>
          <w:rFonts w:hint="eastAsia" w:ascii="Arial" w:hAnsi="Arial" w:cs="Arial"/>
          <w:color w:val="auto"/>
          <w:sz w:val="24"/>
        </w:rPr>
        <w:t>（3）质保期（自交货并验收合格之日起计）1年。</w:t>
      </w:r>
    </w:p>
    <w:p>
      <w:pPr>
        <w:widowControl/>
        <w:shd w:val="clear" w:color="auto" w:fill="FFFFFF"/>
        <w:snapToGrid w:val="0"/>
        <w:spacing w:line="360" w:lineRule="auto"/>
        <w:contextualSpacing/>
        <w:rPr>
          <w:rFonts w:ascii="Arial" w:hAnsi="Arial" w:cs="Arial"/>
          <w:color w:val="auto"/>
          <w:sz w:val="24"/>
        </w:rPr>
      </w:pPr>
      <w:r>
        <w:rPr>
          <w:rFonts w:hint="eastAsia" w:ascii="Arial" w:hAnsi="Arial" w:cs="Arial"/>
          <w:color w:val="auto"/>
          <w:sz w:val="24"/>
        </w:rPr>
        <w:t>4、签定合同日期：自中标（成交）通知书发出之日起</w:t>
      </w:r>
      <w:r>
        <w:rPr>
          <w:rFonts w:hint="eastAsia" w:ascii="Arial" w:hAnsi="Arial" w:cs="Arial"/>
          <w:color w:val="auto"/>
          <w:sz w:val="24"/>
          <w:u w:val="single"/>
        </w:rPr>
        <w:t xml:space="preserve">  15 </w:t>
      </w:r>
      <w:r>
        <w:rPr>
          <w:rFonts w:hint="eastAsia" w:ascii="Arial" w:hAnsi="Arial" w:cs="Arial"/>
          <w:color w:val="auto"/>
          <w:sz w:val="24"/>
        </w:rPr>
        <w:t>日内按时签约。</w:t>
      </w:r>
    </w:p>
    <w:p>
      <w:pPr>
        <w:widowControl/>
        <w:shd w:val="clear" w:color="auto" w:fill="FFFFFF"/>
        <w:snapToGrid w:val="0"/>
        <w:spacing w:line="360" w:lineRule="auto"/>
        <w:contextualSpacing/>
        <w:rPr>
          <w:rFonts w:ascii="Arial" w:hAnsi="Arial" w:cs="Arial"/>
          <w:color w:val="auto"/>
          <w:sz w:val="24"/>
        </w:rPr>
      </w:pPr>
      <w:r>
        <w:rPr>
          <w:rFonts w:hint="eastAsia" w:ascii="Arial" w:hAnsi="Arial" w:cs="Arial"/>
          <w:color w:val="auto"/>
          <w:sz w:val="24"/>
        </w:rPr>
        <w:t>5、交货期（服务时间）：自合同签定之日起</w:t>
      </w:r>
      <w:r>
        <w:rPr>
          <w:rFonts w:hint="eastAsia" w:ascii="Arial" w:hAnsi="Arial" w:cs="Arial"/>
          <w:color w:val="auto"/>
          <w:sz w:val="24"/>
          <w:u w:val="single"/>
        </w:rPr>
        <w:t>30个</w:t>
      </w:r>
      <w:r>
        <w:rPr>
          <w:rFonts w:hint="eastAsia" w:ascii="Arial" w:hAnsi="Arial" w:cs="Arial"/>
          <w:color w:val="auto"/>
          <w:sz w:val="24"/>
        </w:rPr>
        <w:t>日历天内，送货至采购人指定地点并完成安装调试。</w:t>
      </w:r>
    </w:p>
    <w:p>
      <w:pPr>
        <w:autoSpaceDE w:val="0"/>
        <w:autoSpaceDN w:val="0"/>
        <w:spacing w:line="360" w:lineRule="auto"/>
        <w:rPr>
          <w:rFonts w:ascii="Arial" w:hAnsi="Arial" w:cs="Arial"/>
          <w:color w:val="auto"/>
          <w:sz w:val="24"/>
        </w:rPr>
      </w:pPr>
      <w:r>
        <w:rPr>
          <w:rFonts w:hint="eastAsia" w:ascii="Arial" w:hAnsi="Arial" w:cs="Arial"/>
          <w:color w:val="auto"/>
          <w:sz w:val="24"/>
        </w:rPr>
        <w:t>6、交货（服务）地点：南通市港闸区国强路119号南通市计量检定测试所。</w:t>
      </w:r>
    </w:p>
    <w:p>
      <w:pPr>
        <w:tabs>
          <w:tab w:val="left" w:pos="5325"/>
        </w:tabs>
        <w:snapToGrid w:val="0"/>
        <w:spacing w:line="360" w:lineRule="auto"/>
        <w:contextualSpacing/>
        <w:rPr>
          <w:rFonts w:ascii="Arial" w:hAnsi="Arial" w:cs="Arial"/>
          <w:color w:val="auto"/>
          <w:sz w:val="24"/>
        </w:rPr>
      </w:pPr>
      <w:r>
        <w:rPr>
          <w:rFonts w:hint="eastAsia" w:ascii="Arial" w:hAnsi="Arial" w:cs="Arial"/>
          <w:color w:val="auto"/>
          <w:sz w:val="24"/>
        </w:rPr>
        <w:t>7、售后服务及其他（含安装、调试、培训、维护等）</w:t>
      </w:r>
    </w:p>
    <w:p>
      <w:pPr>
        <w:tabs>
          <w:tab w:val="left" w:pos="5325"/>
        </w:tabs>
        <w:snapToGrid w:val="0"/>
        <w:spacing w:line="360" w:lineRule="auto"/>
        <w:ind w:firstLine="480" w:firstLineChars="200"/>
        <w:contextualSpacing/>
        <w:rPr>
          <w:rFonts w:ascii="Arial" w:hAnsi="Arial" w:cs="Arial"/>
          <w:color w:val="auto"/>
          <w:sz w:val="24"/>
        </w:rPr>
      </w:pPr>
      <w:r>
        <w:rPr>
          <w:rFonts w:hint="eastAsia" w:ascii="Arial" w:hAnsi="Arial" w:cs="Arial"/>
          <w:color w:val="auto"/>
          <w:sz w:val="24"/>
        </w:rPr>
        <w:t>（1）供应商承诺：用户提出要求之后，我们将在24小时内实质性响应，如果需要，我们将在48小时内到达现场。我们会有专门的技术服务工程师定期与您联系，了解并帮助解决用户在实际使用中遇到的困难。如果我们的软件进行了升级，我们会及时为用户进行相应的软件升级。我们会有一些不定期的技术讲座，也会邀请用户参加。</w:t>
      </w:r>
    </w:p>
    <w:p>
      <w:pPr>
        <w:tabs>
          <w:tab w:val="left" w:pos="5325"/>
        </w:tabs>
        <w:snapToGrid w:val="0"/>
        <w:spacing w:line="360" w:lineRule="auto"/>
        <w:ind w:firstLine="480" w:firstLineChars="200"/>
        <w:contextualSpacing/>
        <w:rPr>
          <w:rFonts w:ascii="Arial" w:hAnsi="Arial" w:cs="Arial"/>
          <w:color w:val="auto"/>
          <w:sz w:val="24"/>
        </w:rPr>
      </w:pPr>
      <w:r>
        <w:rPr>
          <w:rFonts w:hint="eastAsia" w:ascii="Arial" w:hAnsi="Arial" w:cs="Arial"/>
          <w:color w:val="auto"/>
          <w:sz w:val="24"/>
        </w:rPr>
        <w:t>（2）验收培训：在设备送到客户单位时，全面讲解设备的基本操作、使用，以使用户能够完成对设备验收并对仪器有一个初步的了解，因为仪器本身也是高科技产品，对于刚接触的用户一定要有一个适应过程，所以，在最初的培训过程中以系统设备的简单操作培训为宜；</w:t>
      </w:r>
    </w:p>
    <w:p>
      <w:pPr>
        <w:tabs>
          <w:tab w:val="left" w:pos="5325"/>
        </w:tabs>
        <w:snapToGrid w:val="0"/>
        <w:spacing w:line="360" w:lineRule="auto"/>
        <w:ind w:firstLine="480" w:firstLineChars="200"/>
        <w:contextualSpacing/>
        <w:rPr>
          <w:rFonts w:ascii="Arial" w:hAnsi="Arial" w:cs="Arial"/>
          <w:color w:val="auto"/>
          <w:sz w:val="24"/>
        </w:rPr>
      </w:pPr>
      <w:r>
        <w:rPr>
          <w:rFonts w:hint="eastAsia" w:ascii="Arial" w:hAnsi="Arial" w:cs="Arial"/>
          <w:color w:val="auto"/>
          <w:sz w:val="24"/>
        </w:rPr>
        <w:t>（3）初次使用培训：用户在接受了验收培训之后，由于客观的原因，并不是马上就会用到本系统，所以在验收培训是所接触的一些具体操作有可能会忘记，同时，由于在检定现场各种不利因素比较多，一定要有有经验并且对检定规程、设备的使用、保养、软件的操作比较了解的人陪同，以使得用户度过刚开始操作仪器时的陌生期；</w:t>
      </w:r>
    </w:p>
    <w:p>
      <w:pPr>
        <w:tabs>
          <w:tab w:val="left" w:pos="5325"/>
        </w:tabs>
        <w:snapToGrid w:val="0"/>
        <w:spacing w:line="360" w:lineRule="auto"/>
        <w:ind w:firstLine="480" w:firstLineChars="200"/>
        <w:contextualSpacing/>
        <w:rPr>
          <w:rFonts w:ascii="Arial" w:hAnsi="Arial" w:cs="Arial"/>
          <w:color w:val="auto"/>
          <w:sz w:val="24"/>
        </w:rPr>
      </w:pPr>
      <w:r>
        <w:rPr>
          <w:rFonts w:hint="eastAsia" w:ascii="Arial" w:hAnsi="Arial" w:cs="Arial"/>
          <w:color w:val="auto"/>
          <w:sz w:val="24"/>
        </w:rPr>
        <w:t>（4）复杂情况的检定培训：在有了以上两次培训之后，用户对仪器的使用有了最基本的了解，也可以完成如大多数的测量工作了，但对于某些复杂的或者影响容积表因素比较多的测量还必须进一步提供帮助，解答用户的一些疑惑，并协助用户把测量工作做好，至此，才算是完成了整个培训过程。</w:t>
      </w:r>
    </w:p>
    <w:p>
      <w:pPr>
        <w:spacing w:line="360" w:lineRule="auto"/>
        <w:ind w:firstLine="241" w:firstLineChars="100"/>
        <w:rPr>
          <w:rFonts w:ascii="宋体" w:hAnsi="宋体" w:cs="宋体"/>
          <w:b/>
          <w:bCs/>
          <w:color w:val="auto"/>
          <w:sz w:val="24"/>
          <w:szCs w:val="24"/>
        </w:rPr>
      </w:pPr>
    </w:p>
    <w:p>
      <w:pPr>
        <w:spacing w:line="360" w:lineRule="auto"/>
        <w:ind w:firstLine="241" w:firstLineChars="100"/>
        <w:rPr>
          <w:rFonts w:ascii="宋体" w:hAnsi="宋体" w:cs="宋体"/>
          <w:b/>
          <w:bCs/>
          <w:color w:val="auto"/>
          <w:sz w:val="24"/>
          <w:szCs w:val="24"/>
        </w:rPr>
      </w:pPr>
    </w:p>
    <w:p>
      <w:pPr>
        <w:pStyle w:val="20"/>
        <w:ind w:firstLine="420"/>
        <w:rPr>
          <w:color w:val="auto"/>
        </w:rPr>
      </w:pPr>
    </w:p>
    <w:p>
      <w:pPr>
        <w:pStyle w:val="20"/>
        <w:ind w:firstLine="420"/>
        <w:rPr>
          <w:color w:val="auto"/>
        </w:rPr>
      </w:pPr>
    </w:p>
    <w:p>
      <w:pPr>
        <w:pStyle w:val="20"/>
        <w:ind w:firstLine="420"/>
        <w:rPr>
          <w:color w:val="auto"/>
        </w:rPr>
      </w:pPr>
    </w:p>
    <w:p>
      <w:pPr>
        <w:pStyle w:val="20"/>
        <w:ind w:firstLine="420"/>
        <w:rPr>
          <w:color w:val="auto"/>
        </w:rPr>
      </w:pPr>
    </w:p>
    <w:p>
      <w:pPr>
        <w:pStyle w:val="20"/>
        <w:ind w:firstLine="420"/>
        <w:rPr>
          <w:color w:val="auto"/>
        </w:rPr>
      </w:pPr>
    </w:p>
    <w:p>
      <w:pPr>
        <w:pStyle w:val="20"/>
        <w:ind w:firstLine="420"/>
        <w:rPr>
          <w:color w:val="auto"/>
        </w:rPr>
      </w:pPr>
    </w:p>
    <w:p>
      <w:pPr>
        <w:pStyle w:val="20"/>
        <w:ind w:firstLine="420"/>
        <w:rPr>
          <w:color w:val="auto"/>
        </w:rPr>
      </w:pPr>
    </w:p>
    <w:p>
      <w:pPr>
        <w:pStyle w:val="20"/>
        <w:ind w:firstLine="420"/>
        <w:rPr>
          <w:color w:val="auto"/>
        </w:rPr>
      </w:pPr>
    </w:p>
    <w:p>
      <w:pPr>
        <w:pStyle w:val="20"/>
        <w:ind w:firstLine="420"/>
        <w:rPr>
          <w:color w:val="auto"/>
        </w:rPr>
      </w:pPr>
    </w:p>
    <w:p>
      <w:pPr>
        <w:pStyle w:val="20"/>
        <w:ind w:firstLine="420"/>
        <w:rPr>
          <w:color w:val="auto"/>
        </w:rPr>
      </w:pPr>
    </w:p>
    <w:p>
      <w:pPr>
        <w:pStyle w:val="20"/>
        <w:ind w:firstLine="420"/>
        <w:rPr>
          <w:color w:val="auto"/>
        </w:rPr>
      </w:pPr>
    </w:p>
    <w:p>
      <w:pPr>
        <w:pStyle w:val="20"/>
        <w:ind w:firstLine="420"/>
        <w:rPr>
          <w:color w:val="auto"/>
        </w:rPr>
      </w:pPr>
    </w:p>
    <w:p>
      <w:pPr>
        <w:pStyle w:val="20"/>
        <w:ind w:firstLine="420"/>
        <w:rPr>
          <w:color w:val="auto"/>
        </w:rPr>
      </w:pPr>
    </w:p>
    <w:p>
      <w:pPr>
        <w:pStyle w:val="20"/>
        <w:ind w:firstLine="420"/>
        <w:rPr>
          <w:color w:val="auto"/>
        </w:rPr>
      </w:pPr>
    </w:p>
    <w:p>
      <w:pPr>
        <w:pStyle w:val="20"/>
        <w:ind w:firstLine="420"/>
        <w:rPr>
          <w:color w:val="auto"/>
        </w:rPr>
      </w:pPr>
    </w:p>
    <w:p>
      <w:pPr>
        <w:pStyle w:val="20"/>
        <w:ind w:firstLine="420"/>
        <w:rPr>
          <w:color w:val="auto"/>
        </w:rPr>
      </w:pPr>
    </w:p>
    <w:p>
      <w:pPr>
        <w:pStyle w:val="20"/>
        <w:ind w:firstLine="420"/>
        <w:rPr>
          <w:color w:val="auto"/>
        </w:rPr>
      </w:pPr>
    </w:p>
    <w:p>
      <w:pPr>
        <w:pStyle w:val="20"/>
        <w:ind w:firstLine="420"/>
        <w:rPr>
          <w:color w:val="auto"/>
        </w:rPr>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rPr>
          <w:rFonts w:hint="eastAsia"/>
        </w:rPr>
      </w:pPr>
    </w:p>
    <w:p>
      <w:pPr>
        <w:pStyle w:val="20"/>
        <w:ind w:left="0" w:leftChars="0" w:firstLine="0" w:firstLineChars="0"/>
        <w:rPr>
          <w:rFonts w:ascii="宋体" w:hAnsi="宋体" w:cs="宋体"/>
        </w:rPr>
      </w:pPr>
    </w:p>
    <w:p>
      <w:pPr>
        <w:pStyle w:val="20"/>
        <w:ind w:left="0" w:leftChars="0" w:firstLine="0" w:firstLineChars="0"/>
        <w:jc w:val="center"/>
        <w:rPr>
          <w:rFonts w:ascii="宋体" w:hAnsi="宋体" w:cs="宋体"/>
          <w:b/>
          <w:w w:val="80"/>
          <w:kern w:val="44"/>
          <w:sz w:val="44"/>
          <w:szCs w:val="44"/>
        </w:rPr>
      </w:pPr>
      <w:r>
        <w:rPr>
          <w:rFonts w:hint="eastAsia" w:ascii="宋体" w:hAnsi="宋体" w:cs="宋体"/>
          <w:b/>
          <w:w w:val="80"/>
          <w:kern w:val="44"/>
          <w:sz w:val="44"/>
          <w:szCs w:val="44"/>
        </w:rPr>
        <w:t xml:space="preserve">第四章  </w:t>
      </w:r>
      <w:bookmarkStart w:id="2" w:name="_Toc37322565"/>
      <w:bookmarkStart w:id="3" w:name="_Toc182848996"/>
      <w:bookmarkStart w:id="4" w:name="_Toc38121794"/>
      <w:bookmarkStart w:id="5" w:name="_Toc85627670"/>
      <w:bookmarkStart w:id="6" w:name="_Toc43217893"/>
      <w:r>
        <w:rPr>
          <w:rFonts w:hint="eastAsia" w:ascii="宋体" w:hAnsi="宋体" w:cs="宋体"/>
          <w:b/>
          <w:w w:val="80"/>
          <w:kern w:val="44"/>
          <w:sz w:val="44"/>
          <w:szCs w:val="44"/>
        </w:rPr>
        <w:t>评审方法和程序</w:t>
      </w:r>
    </w:p>
    <w:bookmarkEnd w:id="2"/>
    <w:bookmarkEnd w:id="3"/>
    <w:bookmarkEnd w:id="4"/>
    <w:bookmarkEnd w:id="5"/>
    <w:bookmarkEnd w:id="6"/>
    <w:p>
      <w:pPr>
        <w:snapToGrid w:val="0"/>
        <w:spacing w:line="360" w:lineRule="auto"/>
        <w:ind w:firstLine="482" w:firstLineChars="200"/>
        <w:outlineLvl w:val="1"/>
        <w:rPr>
          <w:rFonts w:hAnsi="宋体" w:cs="宋体"/>
          <w:b/>
          <w:sz w:val="24"/>
          <w:szCs w:val="24"/>
        </w:rPr>
      </w:pPr>
      <w:bookmarkStart w:id="7" w:name="_Toc363573857"/>
      <w:bookmarkEnd w:id="7"/>
      <w:r>
        <w:rPr>
          <w:rFonts w:hint="eastAsia" w:hAnsi="宋体" w:cs="宋体"/>
          <w:b/>
          <w:sz w:val="24"/>
          <w:szCs w:val="24"/>
        </w:rPr>
        <w:t>一、代理机构组织磋商</w:t>
      </w:r>
    </w:p>
    <w:p>
      <w:pPr>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ascii="宋体" w:hAnsi="宋体" w:cs="宋体"/>
          <w:sz w:val="24"/>
          <w:szCs w:val="24"/>
        </w:rPr>
        <w:t>.</w:t>
      </w:r>
      <w:r>
        <w:rPr>
          <w:rFonts w:hint="eastAsia" w:hAnsi="宋体" w:cs="宋体"/>
          <w:sz w:val="24"/>
          <w:szCs w:val="24"/>
        </w:rPr>
        <w:t>本次竞争性磋商依据《中华人民共和国政府采购法》、《政府采购竞争性磋商采购方式管理暂行办法》及有关法规成立磋商小组。磋商小组由采购单位代表共3人以上单数组成。</w:t>
      </w:r>
    </w:p>
    <w:p>
      <w:pPr>
        <w:snapToGrid w:val="0"/>
        <w:spacing w:line="360" w:lineRule="auto"/>
        <w:ind w:firstLine="480" w:firstLineChars="200"/>
        <w:rPr>
          <w:rFonts w:hAnsi="宋体" w:cs="宋体"/>
          <w:sz w:val="24"/>
          <w:szCs w:val="24"/>
        </w:rPr>
      </w:pPr>
      <w:r>
        <w:rPr>
          <w:rFonts w:hint="eastAsia" w:hAnsi="宋体" w:cs="宋体"/>
          <w:sz w:val="24"/>
          <w:szCs w:val="24"/>
        </w:rPr>
        <w:t>2</w:t>
      </w:r>
      <w:r>
        <w:rPr>
          <w:rFonts w:hint="eastAsia" w:ascii="宋体" w:hAnsi="宋体" w:cs="宋体"/>
          <w:sz w:val="24"/>
          <w:szCs w:val="24"/>
        </w:rPr>
        <w:t>.</w:t>
      </w:r>
      <w:r>
        <w:rPr>
          <w:rFonts w:hint="eastAsia" w:hAnsi="宋体" w:cs="宋体"/>
          <w:sz w:val="24"/>
          <w:szCs w:val="24"/>
        </w:rPr>
        <w:t>磋商小组的职责：</w:t>
      </w:r>
    </w:p>
    <w:p>
      <w:pPr>
        <w:snapToGrid w:val="0"/>
        <w:spacing w:line="360" w:lineRule="auto"/>
        <w:ind w:firstLine="480" w:firstLineChars="200"/>
        <w:rPr>
          <w:rFonts w:hAnsi="宋体" w:cs="宋体"/>
          <w:sz w:val="24"/>
          <w:szCs w:val="24"/>
        </w:rPr>
      </w:pPr>
      <w:r>
        <w:rPr>
          <w:rFonts w:hint="eastAsia" w:hAnsi="宋体" w:cs="宋体"/>
          <w:sz w:val="24"/>
          <w:szCs w:val="24"/>
        </w:rPr>
        <w:t>（1）磋商小组成员应当按照客观、公正、审慎的原则，根据磋商文件规定的评审程序、评审方法和评审标准进行独立评审。</w:t>
      </w:r>
    </w:p>
    <w:p>
      <w:pPr>
        <w:snapToGrid w:val="0"/>
        <w:spacing w:line="360" w:lineRule="auto"/>
        <w:ind w:firstLine="480" w:firstLineChars="200"/>
        <w:rPr>
          <w:rFonts w:hAnsi="宋体" w:cs="宋体"/>
          <w:sz w:val="24"/>
          <w:szCs w:val="24"/>
        </w:rPr>
      </w:pPr>
      <w:r>
        <w:rPr>
          <w:rFonts w:hint="eastAsia" w:hAnsi="宋体" w:cs="宋体"/>
          <w:sz w:val="24"/>
          <w:szCs w:val="24"/>
        </w:rPr>
        <w:t>（2）磋商小组成员应当遵守评审工作纪律，不得泄露评审情况和评审中获悉的商业秘密，对个人的评审意见承担法律责任；</w:t>
      </w:r>
    </w:p>
    <w:p>
      <w:pPr>
        <w:snapToGrid w:val="0"/>
        <w:spacing w:line="360" w:lineRule="auto"/>
        <w:ind w:firstLine="480" w:firstLineChars="200"/>
        <w:rPr>
          <w:rFonts w:hAnsi="宋体" w:cs="宋体"/>
          <w:sz w:val="24"/>
          <w:szCs w:val="24"/>
        </w:rPr>
      </w:pPr>
      <w:r>
        <w:rPr>
          <w:rFonts w:hint="eastAsia" w:hAnsi="宋体" w:cs="宋体"/>
          <w:sz w:val="24"/>
          <w:szCs w:val="24"/>
        </w:rPr>
        <w:t>（3）磋商小组成员在评审过程中发现供应商有行贿、提供虚假材料或者串通等违法行为的，应当及时向财政部门报告。</w:t>
      </w:r>
    </w:p>
    <w:p>
      <w:pPr>
        <w:snapToGrid w:val="0"/>
        <w:spacing w:line="360" w:lineRule="auto"/>
        <w:ind w:firstLine="480" w:firstLineChars="200"/>
        <w:rPr>
          <w:rFonts w:hAnsi="宋体" w:cs="宋体"/>
          <w:sz w:val="24"/>
          <w:szCs w:val="24"/>
        </w:rPr>
      </w:pPr>
      <w:r>
        <w:rPr>
          <w:rFonts w:hint="eastAsia" w:hAnsi="宋体" w:cs="宋体"/>
          <w:sz w:val="24"/>
          <w:szCs w:val="24"/>
        </w:rPr>
        <w:t>（4）磋商小组成员在评审过程中受到非法干涉的，应当及时向财政、监察等部门举报。</w:t>
      </w:r>
    </w:p>
    <w:p>
      <w:pPr>
        <w:snapToGrid w:val="0"/>
        <w:spacing w:line="360" w:lineRule="auto"/>
        <w:ind w:firstLine="480" w:firstLineChars="200"/>
        <w:rPr>
          <w:rFonts w:hAnsi="宋体" w:cs="宋体"/>
          <w:sz w:val="24"/>
          <w:szCs w:val="24"/>
        </w:rPr>
      </w:pPr>
      <w:r>
        <w:rPr>
          <w:rFonts w:hint="eastAsia" w:hAnsi="宋体" w:cs="宋体"/>
          <w:sz w:val="24"/>
          <w:szCs w:val="24"/>
        </w:rPr>
        <w:t>（5）配合采购单位答复供应商提出的质疑；配合财政部门的投诉处理和监督检查工作。</w:t>
      </w:r>
    </w:p>
    <w:p>
      <w:pPr>
        <w:snapToGrid w:val="0"/>
        <w:spacing w:line="360" w:lineRule="auto"/>
        <w:ind w:firstLine="480" w:firstLineChars="200"/>
        <w:rPr>
          <w:rFonts w:hAnsi="宋体" w:cs="宋体"/>
          <w:sz w:val="24"/>
          <w:szCs w:val="24"/>
        </w:rPr>
      </w:pPr>
      <w:r>
        <w:rPr>
          <w:rFonts w:hint="eastAsia" w:hAnsi="宋体" w:cs="宋体"/>
          <w:sz w:val="24"/>
          <w:szCs w:val="24"/>
        </w:rPr>
        <w:t>3</w:t>
      </w:r>
      <w:r>
        <w:rPr>
          <w:rFonts w:hint="eastAsia" w:ascii="宋体" w:hAnsi="宋体" w:cs="宋体"/>
          <w:sz w:val="24"/>
          <w:szCs w:val="24"/>
        </w:rPr>
        <w:t>.</w:t>
      </w:r>
      <w:r>
        <w:rPr>
          <w:rFonts w:hint="eastAsia" w:hAnsi="宋体" w:cs="宋体"/>
          <w:sz w:val="24"/>
          <w:szCs w:val="24"/>
        </w:rPr>
        <w:t>评审有关记录由磋商小组成员签名，存档备查。</w:t>
      </w:r>
    </w:p>
    <w:p>
      <w:pPr>
        <w:snapToGrid w:val="0"/>
        <w:spacing w:line="360" w:lineRule="auto"/>
        <w:ind w:firstLine="480" w:firstLineChars="200"/>
        <w:rPr>
          <w:rFonts w:hAnsi="宋体" w:cs="宋体"/>
          <w:sz w:val="24"/>
          <w:szCs w:val="24"/>
        </w:rPr>
      </w:pPr>
      <w:r>
        <w:rPr>
          <w:rFonts w:hint="eastAsia" w:hAnsi="宋体" w:cs="宋体"/>
          <w:sz w:val="24"/>
          <w:szCs w:val="24"/>
        </w:rPr>
        <w:t>4</w:t>
      </w:r>
      <w:r>
        <w:rPr>
          <w:rFonts w:hint="eastAsia" w:ascii="宋体" w:hAnsi="宋体" w:cs="宋体"/>
          <w:sz w:val="24"/>
          <w:szCs w:val="24"/>
        </w:rPr>
        <w:t>.</w:t>
      </w:r>
      <w:r>
        <w:rPr>
          <w:rFonts w:hint="eastAsia" w:hAnsi="宋体" w:cs="宋体"/>
          <w:sz w:val="24"/>
          <w:szCs w:val="24"/>
        </w:rPr>
        <w:t>供应商的法定代表人或被授权人须持身份证准时参加磋商开标会。</w:t>
      </w:r>
    </w:p>
    <w:p>
      <w:pPr>
        <w:snapToGrid w:val="0"/>
        <w:spacing w:line="360" w:lineRule="auto"/>
        <w:ind w:firstLine="482" w:firstLineChars="200"/>
        <w:outlineLvl w:val="1"/>
        <w:rPr>
          <w:rFonts w:hAnsi="宋体" w:cs="宋体"/>
          <w:b/>
          <w:sz w:val="24"/>
          <w:szCs w:val="24"/>
        </w:rPr>
      </w:pPr>
      <w:r>
        <w:rPr>
          <w:rFonts w:hint="eastAsia" w:hAnsi="宋体" w:cs="宋体"/>
          <w:b/>
          <w:sz w:val="24"/>
          <w:szCs w:val="24"/>
        </w:rPr>
        <w:t>二、磋商的原则及方法</w:t>
      </w:r>
    </w:p>
    <w:p>
      <w:pPr>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ascii="宋体" w:hAnsi="宋体" w:cs="宋体"/>
          <w:sz w:val="24"/>
          <w:szCs w:val="24"/>
        </w:rPr>
        <w:t>.</w:t>
      </w:r>
      <w:r>
        <w:rPr>
          <w:rFonts w:hint="eastAsia"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hAnsi="宋体" w:cs="宋体"/>
          <w:sz w:val="24"/>
          <w:szCs w:val="24"/>
        </w:rPr>
      </w:pPr>
      <w:r>
        <w:rPr>
          <w:rFonts w:hint="eastAsia" w:hAnsi="宋体" w:cs="宋体"/>
          <w:sz w:val="24"/>
          <w:szCs w:val="24"/>
        </w:rPr>
        <w:t>2</w:t>
      </w:r>
      <w:r>
        <w:rPr>
          <w:rFonts w:hint="eastAsia" w:ascii="宋体" w:hAnsi="宋体" w:cs="宋体"/>
          <w:sz w:val="24"/>
          <w:szCs w:val="24"/>
        </w:rPr>
        <w:t>.</w:t>
      </w:r>
      <w:r>
        <w:rPr>
          <w:rFonts w:hint="eastAsia" w:hAnsi="宋体" w:cs="宋体"/>
          <w:sz w:val="24"/>
          <w:szCs w:val="24"/>
        </w:rPr>
        <w:t>磋商小组将按照竞争性磋商文件的规定，独立对每个进入打分程序的有效响应供应商的响应文件的技术、商务部分以打分的形式进行评审和评价。技术分取算术平均值（计算结果均四舍五入保留两位小数）。</w:t>
      </w:r>
    </w:p>
    <w:p>
      <w:pPr>
        <w:snapToGrid w:val="0"/>
        <w:spacing w:line="360" w:lineRule="auto"/>
        <w:ind w:firstLine="484" w:firstLineChars="202"/>
        <w:rPr>
          <w:rFonts w:hAnsi="宋体" w:cs="宋体"/>
          <w:sz w:val="24"/>
          <w:szCs w:val="24"/>
        </w:rPr>
      </w:pPr>
      <w:r>
        <w:rPr>
          <w:rFonts w:hint="eastAsia" w:hAnsi="宋体" w:cs="宋体"/>
          <w:sz w:val="24"/>
          <w:szCs w:val="24"/>
        </w:rPr>
        <w:t>3</w:t>
      </w:r>
      <w:r>
        <w:rPr>
          <w:rFonts w:hint="eastAsia" w:ascii="宋体" w:hAnsi="宋体" w:cs="宋体"/>
          <w:sz w:val="24"/>
          <w:szCs w:val="24"/>
        </w:rPr>
        <w:t>.</w:t>
      </w:r>
      <w:r>
        <w:rPr>
          <w:rFonts w:hint="eastAsia"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hAnsi="宋体" w:cs="宋体"/>
          <w:sz w:val="24"/>
          <w:szCs w:val="24"/>
        </w:rPr>
      </w:pPr>
      <w:r>
        <w:rPr>
          <w:rFonts w:hint="eastAsia" w:hAnsi="宋体" w:cs="宋体"/>
          <w:sz w:val="24"/>
          <w:szCs w:val="24"/>
        </w:rPr>
        <w:t>4</w:t>
      </w:r>
      <w:r>
        <w:rPr>
          <w:rFonts w:hint="eastAsia" w:ascii="宋体" w:hAnsi="宋体" w:cs="宋体"/>
          <w:sz w:val="24"/>
          <w:szCs w:val="24"/>
        </w:rPr>
        <w:t>.</w:t>
      </w:r>
      <w:r>
        <w:rPr>
          <w:rFonts w:hint="eastAsia"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hAnsi="宋体" w:cs="宋体"/>
          <w:sz w:val="24"/>
          <w:szCs w:val="24"/>
        </w:rPr>
      </w:pPr>
      <w:r>
        <w:rPr>
          <w:rFonts w:hint="eastAsia" w:hAnsi="宋体" w:cs="宋体"/>
          <w:sz w:val="24"/>
          <w:szCs w:val="24"/>
        </w:rPr>
        <w:t>5</w:t>
      </w:r>
      <w:r>
        <w:rPr>
          <w:rFonts w:hint="eastAsia" w:ascii="宋体" w:hAnsi="宋体" w:cs="宋体"/>
          <w:sz w:val="24"/>
          <w:szCs w:val="24"/>
        </w:rPr>
        <w:t>.</w:t>
      </w:r>
      <w:r>
        <w:rPr>
          <w:rFonts w:hint="eastAsia"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hAnsi="宋体" w:cs="宋体"/>
          <w:sz w:val="24"/>
          <w:szCs w:val="24"/>
        </w:rPr>
      </w:pPr>
      <w:r>
        <w:rPr>
          <w:rFonts w:hint="eastAsia" w:hAnsi="宋体" w:cs="宋体"/>
          <w:sz w:val="24"/>
          <w:szCs w:val="24"/>
        </w:rPr>
        <w:t>6</w:t>
      </w:r>
      <w:r>
        <w:rPr>
          <w:rFonts w:hint="eastAsia" w:ascii="宋体" w:hAnsi="宋体" w:cs="宋体"/>
          <w:sz w:val="24"/>
          <w:szCs w:val="24"/>
        </w:rPr>
        <w:t>.</w:t>
      </w:r>
      <w:r>
        <w:rPr>
          <w:rFonts w:hint="eastAsia"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hAnsi="宋体" w:cs="宋体"/>
          <w:sz w:val="24"/>
          <w:szCs w:val="24"/>
        </w:rPr>
      </w:pPr>
      <w:r>
        <w:rPr>
          <w:rFonts w:hint="eastAsia" w:hAnsi="宋体" w:cs="宋体"/>
          <w:sz w:val="24"/>
          <w:szCs w:val="24"/>
        </w:rPr>
        <w:t>7</w:t>
      </w:r>
      <w:r>
        <w:rPr>
          <w:rFonts w:hint="eastAsia" w:ascii="宋体" w:hAnsi="宋体" w:cs="宋体"/>
          <w:sz w:val="24"/>
          <w:szCs w:val="24"/>
        </w:rPr>
        <w:t>.</w:t>
      </w:r>
      <w:r>
        <w:rPr>
          <w:rFonts w:hint="eastAsia"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hAnsi="宋体"/>
          <w:sz w:val="24"/>
          <w:szCs w:val="24"/>
        </w:rPr>
      </w:pPr>
      <w:r>
        <w:rPr>
          <w:rFonts w:hint="eastAsia" w:hAnsi="宋体" w:cs="宋体"/>
          <w:sz w:val="24"/>
          <w:szCs w:val="24"/>
        </w:rPr>
        <w:t>8</w:t>
      </w:r>
      <w:r>
        <w:rPr>
          <w:rFonts w:hint="eastAsia" w:ascii="宋体" w:hAnsi="宋体" w:cs="宋体"/>
          <w:sz w:val="24"/>
          <w:szCs w:val="24"/>
        </w:rPr>
        <w:t>.</w:t>
      </w:r>
      <w:r>
        <w:rPr>
          <w:rFonts w:hint="eastAsia" w:hAnsi="宋体"/>
          <w:sz w:val="24"/>
          <w:szCs w:val="24"/>
        </w:rPr>
        <w:t>单位负责人为同一人或者存在直接控股、管理关系的不同供应商，都不得在同一采购项目相同标段中同时参加磋商，一经发现，将视同围标处理。</w:t>
      </w:r>
    </w:p>
    <w:p>
      <w:pPr>
        <w:pStyle w:val="20"/>
        <w:spacing w:after="0" w:line="360" w:lineRule="auto"/>
        <w:ind w:left="0" w:leftChars="0" w:firstLine="480"/>
        <w:rPr>
          <w:rFonts w:hAnsi="宋体" w:cs="宋体"/>
          <w:sz w:val="24"/>
        </w:rPr>
      </w:pPr>
      <w:r>
        <w:rPr>
          <w:rFonts w:hint="eastAsia" w:hAnsi="宋体" w:cs="宋体"/>
          <w:sz w:val="24"/>
        </w:rPr>
        <w:t>9</w:t>
      </w:r>
      <w:r>
        <w:rPr>
          <w:rFonts w:hint="eastAsia" w:ascii="宋体" w:hAnsi="宋体" w:cs="宋体"/>
          <w:sz w:val="24"/>
        </w:rPr>
        <w:t>.</w:t>
      </w:r>
      <w:r>
        <w:rPr>
          <w:rFonts w:hint="eastAsia" w:hAnsi="宋体" w:cs="宋体"/>
          <w:sz w:val="24"/>
        </w:rPr>
        <w:t>供应商的磋商响应报价未完全响应商务付款方式要求，则按无效磋商处理。</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三、评审步骤</w:t>
      </w:r>
    </w:p>
    <w:p>
      <w:pPr>
        <w:snapToGrid w:val="0"/>
        <w:spacing w:line="360" w:lineRule="auto"/>
        <w:ind w:firstLine="482" w:firstLineChars="200"/>
        <w:rPr>
          <w:rFonts w:ascii="宋体" w:hAnsi="宋体" w:cs="宋体"/>
          <w:b/>
          <w:bCs/>
          <w:sz w:val="24"/>
          <w:szCs w:val="24"/>
          <w:lang w:val="zh-CN"/>
        </w:rPr>
      </w:pPr>
      <w:r>
        <w:rPr>
          <w:rFonts w:hint="eastAsia" w:ascii="宋体" w:hAnsi="宋体" w:cs="宋体"/>
          <w:b/>
          <w:bCs/>
          <w:sz w:val="24"/>
          <w:szCs w:val="24"/>
          <w:lang w:val="zh-CN"/>
        </w:rPr>
        <w:t>1</w:t>
      </w:r>
      <w:r>
        <w:rPr>
          <w:rFonts w:hint="eastAsia" w:ascii="宋体" w:hAnsi="宋体" w:cs="宋体"/>
          <w:sz w:val="24"/>
          <w:szCs w:val="24"/>
        </w:rPr>
        <w:t>.</w:t>
      </w:r>
      <w:r>
        <w:rPr>
          <w:rFonts w:hint="eastAsia" w:ascii="宋体" w:hAnsi="宋体" w:cs="宋体"/>
          <w:b/>
          <w:bCs/>
          <w:sz w:val="24"/>
          <w:szCs w:val="24"/>
          <w:lang w:val="zh-CN"/>
        </w:rPr>
        <w:t>评审步骤规定：</w:t>
      </w:r>
    </w:p>
    <w:p>
      <w:pPr>
        <w:snapToGrid w:val="0"/>
        <w:spacing w:line="360" w:lineRule="auto"/>
        <w:ind w:firstLine="482" w:firstLineChars="200"/>
        <w:rPr>
          <w:rFonts w:ascii="宋体" w:hAnsi="宋体" w:cs="宋体"/>
          <w:b/>
          <w:bCs/>
          <w:sz w:val="24"/>
          <w:szCs w:val="24"/>
          <w:lang w:val="zh-CN"/>
        </w:rPr>
      </w:pPr>
      <w:r>
        <w:rPr>
          <w:rFonts w:hint="eastAsia" w:ascii="宋体" w:hAnsi="宋体" w:cs="宋体"/>
          <w:b/>
          <w:bCs/>
          <w:sz w:val="24"/>
          <w:szCs w:val="24"/>
          <w:lang w:val="zh-CN"/>
        </w:rPr>
        <w:t>本次资格审查采用资格后审，各</w:t>
      </w:r>
      <w:r>
        <w:rPr>
          <w:rFonts w:hint="eastAsia" w:ascii="宋体" w:hAnsi="宋体" w:cs="宋体"/>
          <w:b/>
          <w:bCs/>
          <w:sz w:val="24"/>
          <w:szCs w:val="24"/>
        </w:rPr>
        <w:t>磋商响应供应商</w:t>
      </w:r>
      <w:r>
        <w:rPr>
          <w:rFonts w:hint="eastAsia" w:ascii="宋体" w:hAnsi="宋体" w:cs="宋体"/>
          <w:b/>
          <w:bCs/>
          <w:sz w:val="24"/>
          <w:szCs w:val="24"/>
          <w:lang w:val="zh-CN"/>
        </w:rPr>
        <w:t>资格审查通过后方能进入技术标的开标</w:t>
      </w:r>
      <w:r>
        <w:rPr>
          <w:rFonts w:hint="eastAsia" w:ascii="宋体" w:hAnsi="宋体" w:cs="宋体"/>
          <w:b/>
          <w:bCs/>
          <w:sz w:val="24"/>
          <w:szCs w:val="24"/>
        </w:rPr>
        <w:t>评审</w:t>
      </w:r>
      <w:r>
        <w:rPr>
          <w:rFonts w:hint="eastAsia" w:ascii="宋体" w:hAnsi="宋体" w:cs="宋体"/>
          <w:b/>
          <w:bCs/>
          <w:sz w:val="24"/>
          <w:szCs w:val="24"/>
          <w:lang w:val="zh-CN"/>
        </w:rPr>
        <w:t>，技术标</w:t>
      </w:r>
      <w:r>
        <w:rPr>
          <w:rFonts w:hint="eastAsia" w:ascii="宋体" w:hAnsi="宋体" w:cs="宋体"/>
          <w:b/>
          <w:bCs/>
          <w:sz w:val="24"/>
          <w:szCs w:val="24"/>
        </w:rPr>
        <w:t>评审</w:t>
      </w:r>
      <w:r>
        <w:rPr>
          <w:rFonts w:hint="eastAsia" w:ascii="宋体" w:hAnsi="宋体" w:cs="宋体"/>
          <w:b/>
          <w:bCs/>
          <w:sz w:val="24"/>
          <w:szCs w:val="24"/>
          <w:lang w:val="zh-CN"/>
        </w:rPr>
        <w:t>打分结束后再</w:t>
      </w:r>
      <w:r>
        <w:rPr>
          <w:rFonts w:hint="eastAsia" w:ascii="宋体" w:hAnsi="宋体" w:cs="宋体"/>
          <w:b/>
          <w:bCs/>
          <w:sz w:val="24"/>
          <w:szCs w:val="24"/>
        </w:rPr>
        <w:t>进入</w:t>
      </w:r>
      <w:r>
        <w:rPr>
          <w:rFonts w:hint="eastAsia" w:ascii="宋体" w:hAnsi="宋体" w:cs="宋体"/>
          <w:b/>
          <w:bCs/>
          <w:sz w:val="24"/>
          <w:szCs w:val="24"/>
          <w:lang w:val="zh-CN"/>
        </w:rPr>
        <w:t>商务标</w:t>
      </w:r>
      <w:r>
        <w:rPr>
          <w:rFonts w:hint="eastAsia" w:ascii="宋体" w:hAnsi="宋体" w:cs="宋体"/>
          <w:b/>
          <w:bCs/>
          <w:sz w:val="24"/>
          <w:szCs w:val="24"/>
        </w:rPr>
        <w:t>的开标评审</w:t>
      </w:r>
      <w:r>
        <w:rPr>
          <w:rFonts w:hint="eastAsia" w:ascii="宋体" w:hAnsi="宋体" w:cs="宋体"/>
          <w:b/>
          <w:bCs/>
          <w:sz w:val="24"/>
          <w:szCs w:val="24"/>
          <w:lang w:val="zh-CN"/>
        </w:rPr>
        <w:t>。</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第一阶段：</w:t>
      </w:r>
      <w:r>
        <w:rPr>
          <w:rFonts w:hint="eastAsia" w:ascii="宋体" w:hAnsi="宋体" w:cs="宋体"/>
          <w:sz w:val="24"/>
        </w:rPr>
        <w:t>磋商小组</w:t>
      </w:r>
      <w:r>
        <w:rPr>
          <w:rFonts w:hint="eastAsia" w:ascii="宋体" w:hAnsi="宋体" w:cs="宋体"/>
          <w:sz w:val="24"/>
          <w:szCs w:val="24"/>
          <w:lang w:val="zh-CN"/>
        </w:rPr>
        <w:t>对每个供应商的资格进行审查（含信用审查）。</w:t>
      </w:r>
    </w:p>
    <w:p>
      <w:pPr>
        <w:spacing w:line="360" w:lineRule="auto"/>
        <w:ind w:firstLine="480" w:firstLineChars="200"/>
        <w:rPr>
          <w:rFonts w:ascii="宋体" w:hAnsi="宋体"/>
          <w:sz w:val="24"/>
          <w:szCs w:val="24"/>
        </w:rPr>
      </w:pPr>
      <w:r>
        <w:rPr>
          <w:rFonts w:hint="eastAsia" w:ascii="宋体" w:hAnsi="宋体"/>
          <w:sz w:val="24"/>
          <w:szCs w:val="24"/>
        </w:rPr>
        <w:t>对供应商的信用记录进行审查，采购单位</w:t>
      </w:r>
      <w:r>
        <w:rPr>
          <w:rFonts w:ascii="宋体" w:hAnsi="宋体"/>
          <w:sz w:val="24"/>
          <w:szCs w:val="24"/>
        </w:rPr>
        <w:t>或代理机构</w:t>
      </w:r>
      <w:r>
        <w:rPr>
          <w:rFonts w:hint="eastAsia" w:ascii="宋体" w:hAnsi="宋体"/>
          <w:sz w:val="24"/>
          <w:szCs w:val="24"/>
        </w:rPr>
        <w:t>将在</w:t>
      </w:r>
      <w:r>
        <w:rPr>
          <w:rFonts w:ascii="宋体" w:hAnsi="宋体"/>
          <w:sz w:val="24"/>
          <w:szCs w:val="24"/>
        </w:rPr>
        <w:t>磋商截止后</w:t>
      </w:r>
      <w:r>
        <w:rPr>
          <w:rFonts w:hint="eastAsia" w:ascii="宋体" w:hAnsi="宋体"/>
          <w:sz w:val="24"/>
          <w:szCs w:val="24"/>
        </w:rPr>
        <w:t>1小时的时期内查询供应商的信用记录。供应商存在不良信用记录的，其磋商将被认定为磋商无效。</w:t>
      </w:r>
    </w:p>
    <w:p>
      <w:pPr>
        <w:spacing w:line="360" w:lineRule="auto"/>
        <w:ind w:firstLine="480" w:firstLineChars="200"/>
        <w:rPr>
          <w:rFonts w:ascii="宋体" w:hAnsi="宋体"/>
          <w:sz w:val="24"/>
          <w:szCs w:val="24"/>
        </w:rPr>
      </w:pPr>
      <w:r>
        <w:rPr>
          <w:rFonts w:hint="eastAsia" w:ascii="宋体" w:hAnsi="宋体"/>
          <w:sz w:val="24"/>
          <w:szCs w:val="24"/>
        </w:rPr>
        <w:t>不良信用记录指：供应商在中国政府采购网（www.ccgp.gov.cn）被列入政府采购严重违法失信行为记录名单，</w:t>
      </w:r>
      <w:r>
        <w:rPr>
          <w:rFonts w:ascii="宋体" w:hAnsi="宋体"/>
          <w:sz w:val="24"/>
          <w:szCs w:val="24"/>
        </w:rPr>
        <w:t>或</w:t>
      </w:r>
      <w:r>
        <w:rPr>
          <w:rFonts w:hint="eastAsia" w:ascii="宋体" w:hAnsi="宋体"/>
          <w:sz w:val="24"/>
          <w:szCs w:val="24"/>
        </w:rPr>
        <w:t>在“信用中国”网站（www.creditchina.gov.cn）被列入失信被执行人、重大税收违法案件当事人名单，以及存在《中华人民共和国政府采购法实施条例》第</w:t>
      </w:r>
      <w:r>
        <w:rPr>
          <w:rFonts w:ascii="宋体" w:hAnsi="宋体"/>
          <w:sz w:val="24"/>
          <w:szCs w:val="24"/>
        </w:rPr>
        <w:t>十九</w:t>
      </w:r>
      <w:r>
        <w:rPr>
          <w:rFonts w:hint="eastAsia" w:ascii="宋体" w:hAnsi="宋体"/>
          <w:sz w:val="24"/>
          <w:szCs w:val="24"/>
        </w:rPr>
        <w:t>条规定的行政处罚记录。</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二阶段：磋商小组对每个符合资格要求的供应商的技术标进行评审。主要审查技术标提交的内容是否齐全，技术方案及项目实施是否完全满足采购文件的要求。磋商小组严格按照磋商文件的要求、条件、评分标准，对</w:t>
      </w:r>
      <w:r>
        <w:rPr>
          <w:rFonts w:hint="eastAsia" w:ascii="宋体" w:hAnsi="宋体" w:cs="宋体"/>
          <w:sz w:val="24"/>
          <w:szCs w:val="24"/>
        </w:rPr>
        <w:t>磋商响应供就商</w:t>
      </w:r>
      <w:r>
        <w:rPr>
          <w:rFonts w:hint="eastAsia" w:ascii="宋体" w:hAnsi="宋体" w:cs="宋体"/>
          <w:sz w:val="24"/>
          <w:szCs w:val="24"/>
          <w:lang w:val="zh-CN"/>
        </w:rPr>
        <w:t>所提供货物或服务的先进性、可靠性、售后服务承诺、质量保证承诺等实质性响应内容进行比较。</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第三阶段：以</w:t>
      </w:r>
      <w:r>
        <w:rPr>
          <w:rFonts w:hint="eastAsia" w:ascii="宋体" w:hAnsi="宋体" w:cs="宋体"/>
          <w:sz w:val="24"/>
          <w:szCs w:val="24"/>
        </w:rPr>
        <w:t>磋商响应</w:t>
      </w:r>
      <w:r>
        <w:rPr>
          <w:rFonts w:hint="eastAsia" w:ascii="宋体" w:hAnsi="宋体" w:cs="宋体"/>
          <w:sz w:val="24"/>
          <w:szCs w:val="24"/>
          <w:lang w:val="zh-CN"/>
        </w:rPr>
        <w:t>供应商</w:t>
      </w:r>
      <w:r>
        <w:rPr>
          <w:rFonts w:hint="eastAsia" w:ascii="宋体" w:hAnsi="宋体" w:cs="宋体"/>
          <w:sz w:val="24"/>
          <w:szCs w:val="24"/>
        </w:rPr>
        <w:t>的商务</w:t>
      </w:r>
      <w:r>
        <w:rPr>
          <w:rFonts w:hint="eastAsia" w:ascii="宋体" w:hAnsi="宋体" w:cs="宋体"/>
          <w:sz w:val="24"/>
          <w:szCs w:val="24"/>
          <w:lang w:val="zh-CN"/>
        </w:rPr>
        <w:t>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rPr>
        <w:t>磋商小组</w:t>
      </w:r>
      <w:r>
        <w:rPr>
          <w:rFonts w:hint="eastAsia" w:ascii="宋体" w:hAnsi="宋体" w:cs="宋体"/>
          <w:sz w:val="24"/>
          <w:szCs w:val="24"/>
        </w:rPr>
        <w:t>与磋商响应</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rPr>
        <w:t>磋商小组</w:t>
      </w:r>
      <w:r>
        <w:rPr>
          <w:rFonts w:hint="eastAsia" w:ascii="宋体" w:hAnsi="宋体" w:cs="宋体"/>
          <w:sz w:val="24"/>
          <w:szCs w:val="24"/>
          <w:lang w:val="zh-CN"/>
        </w:rPr>
        <w:t>告知所有供应商二次（</w:t>
      </w:r>
      <w:r>
        <w:rPr>
          <w:rFonts w:hint="eastAsia" w:ascii="宋体" w:hAnsi="宋体" w:cs="宋体"/>
          <w:sz w:val="24"/>
          <w:szCs w:val="24"/>
        </w:rPr>
        <w:t>最终</w:t>
      </w:r>
      <w:r>
        <w:rPr>
          <w:rFonts w:hint="eastAsia" w:ascii="宋体" w:hAnsi="宋体" w:cs="宋体"/>
          <w:sz w:val="24"/>
          <w:szCs w:val="24"/>
          <w:lang w:val="zh-CN"/>
        </w:rPr>
        <w:t>）报价，并要求所有作出实质性响应的有效供应商在规定的时间内，在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第五阶段：磋商小组对供应商的最终报价进行评议和比较，在实质性响应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w:t>
      </w:r>
      <w:r>
        <w:rPr>
          <w:rFonts w:hint="eastAsia" w:ascii="宋体" w:hAnsi="宋体" w:cs="宋体"/>
          <w:sz w:val="24"/>
          <w:szCs w:val="24"/>
        </w:rPr>
        <w:t>商务</w:t>
      </w:r>
      <w:r>
        <w:rPr>
          <w:rFonts w:hint="eastAsia" w:ascii="宋体" w:hAnsi="宋体" w:cs="宋体"/>
          <w:sz w:val="24"/>
          <w:szCs w:val="24"/>
          <w:lang w:val="zh-CN"/>
        </w:rPr>
        <w:t>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rPr>
        <w:t>磋商小组</w:t>
      </w:r>
      <w:r>
        <w:rPr>
          <w:rFonts w:hint="eastAsia" w:ascii="宋体" w:hAnsi="宋体" w:cs="宋体"/>
          <w:sz w:val="24"/>
          <w:szCs w:val="24"/>
          <w:lang w:val="zh-CN"/>
        </w:rPr>
        <w:t>将校核后的各供应商的报价从低到高排序。</w:t>
      </w:r>
    </w:p>
    <w:p>
      <w:pPr>
        <w:snapToGrid w:val="0"/>
        <w:spacing w:line="360" w:lineRule="auto"/>
      </w:pPr>
      <w:r>
        <w:rPr>
          <w:rFonts w:hint="eastAsia" w:ascii="宋体" w:hAnsi="宋体" w:cs="宋体"/>
          <w:sz w:val="24"/>
          <w:szCs w:val="24"/>
          <w:lang w:val="zh-CN"/>
        </w:rPr>
        <w:t>　　２</w:t>
      </w:r>
      <w:r>
        <w:rPr>
          <w:rFonts w:hint="eastAsia" w:ascii="宋体" w:hAnsi="宋体" w:cs="宋体"/>
          <w:sz w:val="24"/>
          <w:szCs w:val="24"/>
        </w:rPr>
        <w:t>.</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hAnsi="宋体" w:cs="宋体"/>
          <w:b/>
          <w:sz w:val="24"/>
          <w:szCs w:val="24"/>
        </w:rPr>
      </w:pPr>
      <w:r>
        <w:rPr>
          <w:rFonts w:hint="eastAsia" w:hAnsi="宋体" w:cs="宋体"/>
          <w:b/>
          <w:sz w:val="24"/>
          <w:szCs w:val="24"/>
        </w:rPr>
        <w:t>四、磋商评定结果的方法</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经磋商</w:t>
      </w:r>
      <w:r>
        <w:rPr>
          <w:rFonts w:hint="eastAsia" w:ascii="宋体" w:hAnsi="宋体" w:cs="宋体"/>
          <w:sz w:val="24"/>
          <w:szCs w:val="24"/>
          <w:u w:val="single"/>
        </w:rPr>
        <w:t xml:space="preserve">  确定最终采购需求  </w:t>
      </w:r>
      <w:r>
        <w:rPr>
          <w:rFonts w:hint="eastAsia" w:ascii="宋体" w:hAnsi="宋体" w:cs="宋体"/>
          <w:sz w:val="24"/>
          <w:szCs w:val="24"/>
        </w:rPr>
        <w:t>后，由磋商小组采用</w:t>
      </w:r>
      <w:r>
        <w:rPr>
          <w:rFonts w:hint="eastAsia" w:ascii="宋体" w:hAnsi="宋体" w:cs="宋体"/>
          <w:sz w:val="24"/>
          <w:szCs w:val="24"/>
          <w:u w:val="single"/>
        </w:rPr>
        <w:t xml:space="preserve">  综合评分法  </w:t>
      </w:r>
      <w:r>
        <w:rPr>
          <w:rFonts w:hint="eastAsia" w:ascii="宋体" w:hAnsi="宋体" w:cs="宋体"/>
          <w:sz w:val="24"/>
          <w:szCs w:val="24"/>
        </w:rPr>
        <w:t>对响应文件满足磋商文件全部实质性要求的响应文件，按评审因素的量化指标进行评审，综合得分最高的供应商为成交候选供应商。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1.进入综合评分评审阶段后，磋商小组成员会将仅对按本磋商文件载明的方法与规定，对满足磋商文件全部实质性要求的磋商响应文件进行评审、评价和比较。</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2.磋商小组各成员应当独立对每个有效的磋商响应文件进行评价、打分，然后汇总每个供应商每项评分因素的得分（计算结果均四舍五入保留两位小数）。</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3.技术分按算术平均值计算，分值四舍五入保留两位小数。</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4.综合得分最高的推荐为本项目的成交供应商并出具评审磋商报告。</w:t>
      </w:r>
    </w:p>
    <w:p>
      <w:pPr>
        <w:snapToGrid w:val="0"/>
        <w:spacing w:line="360" w:lineRule="auto"/>
        <w:ind w:firstLine="480" w:firstLineChars="200"/>
        <w:outlineLvl w:val="1"/>
        <w:rPr>
          <w:rFonts w:ascii="宋体" w:hAnsi="宋体" w:cs="宋体"/>
          <w:sz w:val="24"/>
          <w:szCs w:val="24"/>
        </w:rPr>
      </w:pPr>
      <w:r>
        <w:rPr>
          <w:rFonts w:hint="eastAsia" w:ascii="宋体" w:hAnsi="宋体" w:cs="宋体"/>
          <w:sz w:val="24"/>
          <w:szCs w:val="24"/>
        </w:rPr>
        <w:t>5.综合得分相同的，由采购单位抽签决定成交人。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6.磋商评审时，评委对评审的细则若有争议，由磋商小组集体讨论确定，并对未尽情况有最终解释权。</w:t>
      </w:r>
    </w:p>
    <w:p>
      <w:pPr>
        <w:snapToGrid w:val="0"/>
        <w:spacing w:line="360" w:lineRule="auto"/>
        <w:ind w:firstLine="480" w:firstLineChars="200"/>
        <w:rPr>
          <w:rFonts w:hAnsi="宋体" w:cs="宋体"/>
          <w:sz w:val="24"/>
          <w:szCs w:val="24"/>
        </w:rPr>
      </w:pPr>
      <w:r>
        <w:rPr>
          <w:rFonts w:hint="eastAsia" w:hAnsi="宋体" w:cs="宋体"/>
          <w:sz w:val="24"/>
          <w:szCs w:val="24"/>
        </w:rPr>
        <w:t>7</w:t>
      </w:r>
      <w:r>
        <w:rPr>
          <w:rFonts w:hint="eastAsia" w:ascii="宋体" w:hAnsi="宋体" w:cs="宋体"/>
          <w:sz w:val="24"/>
          <w:szCs w:val="24"/>
        </w:rPr>
        <w:t>.</w:t>
      </w:r>
      <w:r>
        <w:rPr>
          <w:rFonts w:hint="eastAsia" w:hAnsi="宋体" w:cs="宋体"/>
          <w:sz w:val="24"/>
          <w:szCs w:val="24"/>
        </w:rPr>
        <w:t>对落标的供应商不做落标原因的解释。</w:t>
      </w:r>
    </w:p>
    <w:p>
      <w:pPr>
        <w:snapToGrid w:val="0"/>
        <w:spacing w:line="360" w:lineRule="auto"/>
        <w:ind w:firstLine="482" w:firstLineChars="200"/>
        <w:outlineLvl w:val="1"/>
        <w:rPr>
          <w:rFonts w:ascii="宋体" w:hAnsi="宋体" w:cs="宋体"/>
          <w:b/>
          <w:sz w:val="24"/>
          <w:szCs w:val="24"/>
        </w:rPr>
      </w:pPr>
    </w:p>
    <w:p>
      <w:pPr>
        <w:numPr>
          <w:ilvl w:val="0"/>
          <w:numId w:val="3"/>
        </w:numPr>
        <w:snapToGrid w:val="0"/>
        <w:spacing w:line="360" w:lineRule="auto"/>
        <w:ind w:firstLine="482" w:firstLineChars="200"/>
        <w:outlineLvl w:val="1"/>
        <w:rPr>
          <w:rFonts w:ascii="宋体" w:hAnsi="宋体" w:cs="宋体"/>
          <w:sz w:val="24"/>
          <w:szCs w:val="24"/>
        </w:rPr>
      </w:pPr>
      <w:r>
        <w:rPr>
          <w:rFonts w:hint="eastAsia" w:ascii="宋体" w:hAnsi="宋体" w:cs="宋体"/>
          <w:b/>
          <w:sz w:val="24"/>
          <w:szCs w:val="24"/>
        </w:rPr>
        <w:t>综合评分评审标准</w:t>
      </w:r>
      <w:r>
        <w:rPr>
          <w:rFonts w:hint="eastAsia" w:ascii="宋体" w:hAnsi="宋体" w:cs="宋体"/>
          <w:sz w:val="24"/>
          <w:szCs w:val="24"/>
        </w:rPr>
        <w:t>（100分）</w:t>
      </w:r>
    </w:p>
    <w:tbl>
      <w:tblPr>
        <w:tblStyle w:val="2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90"/>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61" w:type="dxa"/>
            <w:vAlign w:val="center"/>
          </w:tcPr>
          <w:p>
            <w:pPr>
              <w:spacing w:line="276" w:lineRule="auto"/>
              <w:rPr>
                <w:rFonts w:ascii="宋体" w:hAnsi="宋体" w:cs="Calibri"/>
                <w:bCs/>
                <w:sz w:val="24"/>
                <w:szCs w:val="24"/>
              </w:rPr>
            </w:pPr>
            <w:r>
              <w:rPr>
                <w:rFonts w:hint="eastAsia" w:ascii="宋体" w:hAnsi="宋体" w:cs="Calibri"/>
                <w:bCs/>
                <w:sz w:val="24"/>
                <w:szCs w:val="24"/>
              </w:rPr>
              <w:t>序号</w:t>
            </w:r>
          </w:p>
        </w:tc>
        <w:tc>
          <w:tcPr>
            <w:tcW w:w="8845" w:type="dxa"/>
            <w:gridSpan w:val="2"/>
            <w:vAlign w:val="center"/>
          </w:tcPr>
          <w:p>
            <w:pPr>
              <w:spacing w:line="276" w:lineRule="auto"/>
              <w:jc w:val="center"/>
              <w:rPr>
                <w:rFonts w:ascii="宋体" w:hAnsi="宋体" w:cs="Calibri"/>
                <w:bCs/>
                <w:sz w:val="24"/>
                <w:szCs w:val="24"/>
              </w:rPr>
            </w:pPr>
            <w:r>
              <w:rPr>
                <w:rFonts w:hint="eastAsia" w:ascii="宋体" w:hAnsi="宋体" w:cs="Calibri"/>
                <w:bCs/>
                <w:sz w:val="24"/>
                <w:szCs w:val="24"/>
              </w:rPr>
              <w:t>评分标准(100分)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761" w:type="dxa"/>
            <w:vAlign w:val="center"/>
          </w:tcPr>
          <w:p>
            <w:pPr>
              <w:spacing w:line="276" w:lineRule="auto"/>
              <w:jc w:val="center"/>
              <w:rPr>
                <w:rFonts w:ascii="宋体" w:hAnsi="宋体" w:cs="Calibri"/>
                <w:bCs/>
                <w:sz w:val="24"/>
                <w:szCs w:val="24"/>
              </w:rPr>
            </w:pPr>
            <w:r>
              <w:rPr>
                <w:rFonts w:hint="eastAsia" w:ascii="宋体" w:hAnsi="宋体" w:cs="Calibri"/>
                <w:bCs/>
                <w:sz w:val="24"/>
                <w:szCs w:val="24"/>
              </w:rPr>
              <w:t>1</w:t>
            </w:r>
          </w:p>
        </w:tc>
        <w:tc>
          <w:tcPr>
            <w:tcW w:w="1590" w:type="dxa"/>
            <w:vAlign w:val="center"/>
          </w:tcPr>
          <w:p>
            <w:pPr>
              <w:spacing w:line="276" w:lineRule="auto"/>
              <w:ind w:firstLine="240" w:firstLineChars="100"/>
              <w:jc w:val="center"/>
              <w:rPr>
                <w:rFonts w:ascii="宋体" w:hAnsi="宋体" w:cs="Calibri"/>
                <w:bCs/>
                <w:sz w:val="24"/>
                <w:szCs w:val="24"/>
              </w:rPr>
            </w:pPr>
            <w:r>
              <w:rPr>
                <w:rFonts w:hint="eastAsia" w:ascii="宋体" w:hAnsi="宋体" w:cs="Calibri"/>
                <w:bCs/>
                <w:sz w:val="24"/>
                <w:szCs w:val="24"/>
              </w:rPr>
              <w:t>投标报价</w:t>
            </w:r>
          </w:p>
          <w:p>
            <w:pPr>
              <w:spacing w:line="276" w:lineRule="auto"/>
              <w:ind w:firstLine="240" w:firstLineChars="100"/>
              <w:jc w:val="center"/>
              <w:rPr>
                <w:rFonts w:ascii="宋体" w:hAnsi="宋体" w:cs="Calibri"/>
                <w:bCs/>
                <w:sz w:val="24"/>
                <w:szCs w:val="24"/>
              </w:rPr>
            </w:pPr>
            <w:r>
              <w:rPr>
                <w:rFonts w:hint="eastAsia" w:ascii="宋体" w:hAnsi="宋体" w:cs="Calibri"/>
                <w:bCs/>
                <w:sz w:val="24"/>
                <w:szCs w:val="24"/>
              </w:rPr>
              <w:t>（30分）</w:t>
            </w:r>
          </w:p>
        </w:tc>
        <w:tc>
          <w:tcPr>
            <w:tcW w:w="7255" w:type="dxa"/>
            <w:vAlign w:val="center"/>
          </w:tcPr>
          <w:p>
            <w:pPr>
              <w:snapToGrid w:val="0"/>
              <w:jc w:val="left"/>
              <w:outlineLvl w:val="2"/>
              <w:rPr>
                <w:rFonts w:ascii="宋体" w:hAnsi="宋体" w:cs="宋体"/>
                <w:sz w:val="24"/>
                <w:szCs w:val="24"/>
              </w:rPr>
            </w:pPr>
            <w:r>
              <w:rPr>
                <w:rFonts w:hint="eastAsia" w:ascii="宋体" w:hAnsi="宋体" w:cs="宋体"/>
                <w:sz w:val="24"/>
                <w:szCs w:val="24"/>
              </w:rPr>
              <w:t>1.第一步：磋商报价低于或等于采购预算的，为有效磋商报价。超过采购预算的磋商报价为无效磋商报价。无效磋商报价的供应商不得参与评审。</w:t>
            </w:r>
          </w:p>
          <w:p>
            <w:pPr>
              <w:snapToGrid w:val="0"/>
              <w:jc w:val="left"/>
              <w:outlineLvl w:val="2"/>
              <w:rPr>
                <w:rFonts w:ascii="宋体" w:hAnsi="宋体" w:cs="宋体"/>
                <w:sz w:val="24"/>
                <w:szCs w:val="24"/>
              </w:rPr>
            </w:pPr>
            <w:r>
              <w:rPr>
                <w:rFonts w:hint="eastAsia" w:ascii="宋体" w:hAnsi="宋体" w:cs="宋体"/>
                <w:sz w:val="24"/>
                <w:szCs w:val="24"/>
              </w:rPr>
              <w:t>2.第二步：在所有有效磋商报价中满足磋商文件要求，且磋商评审价格最低的为评标基准价，其价格分为30分，其他供应商的价格分按照下列公式计算（计算结果四舍五入保留两位小数）</w:t>
            </w:r>
          </w:p>
          <w:p>
            <w:pPr>
              <w:snapToGrid w:val="0"/>
              <w:jc w:val="left"/>
              <w:outlineLvl w:val="2"/>
              <w:rPr>
                <w:rFonts w:ascii="宋体" w:hAnsi="宋体" w:cs="Calibri"/>
                <w:bCs/>
                <w:sz w:val="24"/>
                <w:szCs w:val="24"/>
              </w:rPr>
            </w:pPr>
            <w:r>
              <w:rPr>
                <w:rFonts w:hint="eastAsia" w:ascii="宋体" w:hAnsi="宋体" w:cs="宋体"/>
                <w:sz w:val="24"/>
                <w:szCs w:val="24"/>
              </w:rPr>
              <w:t>各供应商价格分＝（评标基准价/磋商评审价格）×30％×100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761" w:type="dxa"/>
            <w:vAlign w:val="center"/>
          </w:tcPr>
          <w:p>
            <w:pPr>
              <w:spacing w:line="276" w:lineRule="auto"/>
              <w:jc w:val="center"/>
              <w:rPr>
                <w:rFonts w:ascii="宋体" w:hAnsi="宋体" w:cs="Calibri"/>
                <w:bCs/>
                <w:sz w:val="24"/>
                <w:szCs w:val="24"/>
              </w:rPr>
            </w:pPr>
            <w:r>
              <w:rPr>
                <w:rFonts w:hint="eastAsia" w:ascii="宋体" w:hAnsi="宋体" w:cs="Calibri"/>
                <w:bCs/>
                <w:sz w:val="24"/>
                <w:szCs w:val="24"/>
              </w:rPr>
              <w:t>2</w:t>
            </w:r>
          </w:p>
        </w:tc>
        <w:tc>
          <w:tcPr>
            <w:tcW w:w="1590" w:type="dxa"/>
            <w:vAlign w:val="center"/>
          </w:tcPr>
          <w:p>
            <w:pPr>
              <w:widowControl/>
              <w:spacing w:line="400" w:lineRule="exact"/>
              <w:jc w:val="center"/>
              <w:rPr>
                <w:rFonts w:ascii="宋体" w:hAnsi="宋体" w:cs="Calibri"/>
                <w:bCs/>
                <w:sz w:val="24"/>
                <w:szCs w:val="24"/>
              </w:rPr>
            </w:pPr>
            <w:r>
              <w:rPr>
                <w:rFonts w:hint="eastAsia" w:ascii="宋体" w:hAnsi="宋体" w:cs="宋体"/>
                <w:bCs/>
                <w:color w:val="000000"/>
                <w:kern w:val="0"/>
                <w:sz w:val="24"/>
                <w:szCs w:val="24"/>
              </w:rPr>
              <w:t>类似项目成功案例（5分）</w:t>
            </w:r>
          </w:p>
        </w:tc>
        <w:tc>
          <w:tcPr>
            <w:tcW w:w="7255" w:type="dxa"/>
            <w:vAlign w:val="center"/>
          </w:tcPr>
          <w:p>
            <w:pPr>
              <w:widowControl/>
              <w:spacing w:line="400" w:lineRule="exact"/>
              <w:jc w:val="left"/>
              <w:rPr>
                <w:rFonts w:ascii="宋体" w:hAnsi="宋体" w:cs="Calibri"/>
                <w:bCs/>
                <w:sz w:val="24"/>
                <w:szCs w:val="24"/>
              </w:rPr>
            </w:pPr>
            <w:r>
              <w:rPr>
                <w:rFonts w:hint="eastAsia" w:ascii="宋体" w:hAnsi="宋体" w:cs="宋体"/>
                <w:sz w:val="24"/>
                <w:szCs w:val="24"/>
              </w:rPr>
              <w:t>根据供应商提供的2019年1</w:t>
            </w:r>
            <w:r>
              <w:rPr>
                <w:rFonts w:hint="eastAsia" w:ascii="宋体" w:hAnsi="宋体" w:cs="宋体"/>
                <w:color w:val="auto"/>
                <w:sz w:val="24"/>
                <w:szCs w:val="24"/>
              </w:rPr>
              <w:t>月至今同类产品在计量机构的销售业绩综合评定，每提供1个业绩证明材料</w:t>
            </w:r>
            <w:r>
              <w:rPr>
                <w:rFonts w:hint="eastAsia" w:ascii="宋体" w:hAnsi="宋体" w:cs="宋体"/>
                <w:sz w:val="24"/>
                <w:szCs w:val="24"/>
              </w:rPr>
              <w:t>得1分，最多得5分（须提供合同首页、合同金额页、签字盖章页的复印件并加盖投标人公章，未按以上要求提供的业绩证明材料按无效处理。）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761" w:type="dxa"/>
            <w:vAlign w:val="center"/>
          </w:tcPr>
          <w:p>
            <w:pPr>
              <w:spacing w:line="276" w:lineRule="auto"/>
              <w:jc w:val="center"/>
              <w:rPr>
                <w:rFonts w:ascii="宋体" w:hAnsi="宋体" w:cs="Calibri"/>
                <w:bCs/>
                <w:sz w:val="24"/>
                <w:szCs w:val="24"/>
              </w:rPr>
            </w:pPr>
            <w:r>
              <w:rPr>
                <w:rFonts w:hint="eastAsia" w:ascii="宋体" w:hAnsi="宋体" w:cs="Calibri"/>
                <w:bCs/>
                <w:sz w:val="24"/>
                <w:szCs w:val="24"/>
              </w:rPr>
              <w:t>3</w:t>
            </w:r>
          </w:p>
        </w:tc>
        <w:tc>
          <w:tcPr>
            <w:tcW w:w="1590" w:type="dxa"/>
            <w:vAlign w:val="center"/>
          </w:tcPr>
          <w:p>
            <w:pPr>
              <w:pStyle w:val="67"/>
              <w:numPr>
                <w:ilvl w:val="0"/>
                <w:numId w:val="0"/>
              </w:numPr>
              <w:spacing w:line="360" w:lineRule="exact"/>
              <w:contextualSpacing/>
              <w:jc w:val="center"/>
              <w:rPr>
                <w:rFonts w:cs="宋体"/>
                <w:bCs/>
                <w:color w:val="000000"/>
                <w:sz w:val="24"/>
                <w:szCs w:val="24"/>
              </w:rPr>
            </w:pPr>
            <w:r>
              <w:rPr>
                <w:rFonts w:hint="eastAsia" w:cs="宋体"/>
                <w:bCs/>
                <w:color w:val="000000"/>
                <w:sz w:val="24"/>
                <w:szCs w:val="24"/>
              </w:rPr>
              <w:t>技术指标响应程度</w:t>
            </w:r>
          </w:p>
          <w:p>
            <w:pPr>
              <w:spacing w:line="400" w:lineRule="exact"/>
              <w:jc w:val="center"/>
              <w:rPr>
                <w:rFonts w:ascii="宋体" w:hAnsi="宋体" w:cs="Calibri"/>
                <w:bCs/>
                <w:sz w:val="24"/>
                <w:szCs w:val="24"/>
              </w:rPr>
            </w:pPr>
            <w:r>
              <w:rPr>
                <w:rFonts w:hint="eastAsia" w:ascii="宋体" w:hAnsi="宋体" w:cs="宋体"/>
                <w:bCs/>
                <w:color w:val="000000"/>
                <w:kern w:val="0"/>
                <w:sz w:val="24"/>
                <w:szCs w:val="24"/>
              </w:rPr>
              <w:t>（40分)</w:t>
            </w:r>
          </w:p>
        </w:tc>
        <w:tc>
          <w:tcPr>
            <w:tcW w:w="7255" w:type="dxa"/>
            <w:vAlign w:val="center"/>
          </w:tcPr>
          <w:p>
            <w:pPr>
              <w:widowControl/>
              <w:spacing w:line="400" w:lineRule="exact"/>
              <w:jc w:val="left"/>
              <w:rPr>
                <w:rFonts w:ascii="宋体" w:hAnsi="宋体" w:cs="Calibri"/>
                <w:bCs/>
                <w:sz w:val="24"/>
                <w:szCs w:val="24"/>
              </w:rPr>
            </w:pPr>
            <w:r>
              <w:rPr>
                <w:rFonts w:hint="eastAsia" w:ascii="宋体" w:hAnsi="宋体" w:cs="宋体"/>
                <w:color w:val="000000"/>
                <w:sz w:val="24"/>
                <w:szCs w:val="24"/>
              </w:rPr>
              <w:t>根据投标货物技术指标与招标文件要求技术指标的响应程度判定；技术参数未响应或不满足的每条减</w:t>
            </w:r>
            <w:r>
              <w:rPr>
                <w:rFonts w:ascii="宋体" w:hAnsi="宋体" w:cs="宋体"/>
                <w:color w:val="000000"/>
                <w:sz w:val="24"/>
                <w:szCs w:val="24"/>
              </w:rPr>
              <w:t>5</w:t>
            </w:r>
            <w:r>
              <w:rPr>
                <w:rFonts w:hint="eastAsia" w:ascii="宋体" w:hAnsi="宋体" w:cs="宋体"/>
                <w:color w:val="000000"/>
                <w:sz w:val="24"/>
                <w:szCs w:val="24"/>
              </w:rPr>
              <w:t>分，本项评分最低得0分。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61" w:type="dxa"/>
            <w:vAlign w:val="center"/>
          </w:tcPr>
          <w:p>
            <w:pPr>
              <w:spacing w:line="276" w:lineRule="auto"/>
              <w:jc w:val="center"/>
              <w:rPr>
                <w:rFonts w:ascii="宋体" w:hAnsi="宋体" w:cs="Calibri"/>
                <w:bCs/>
                <w:sz w:val="24"/>
                <w:szCs w:val="24"/>
              </w:rPr>
            </w:pPr>
            <w:r>
              <w:rPr>
                <w:rFonts w:hint="eastAsia" w:ascii="宋体" w:hAnsi="宋体" w:cs="Calibri"/>
                <w:bCs/>
                <w:sz w:val="24"/>
                <w:szCs w:val="24"/>
              </w:rPr>
              <w:t>4</w:t>
            </w:r>
          </w:p>
        </w:tc>
        <w:tc>
          <w:tcPr>
            <w:tcW w:w="1590" w:type="dxa"/>
            <w:vAlign w:val="center"/>
          </w:tcPr>
          <w:p>
            <w:pPr>
              <w:widowControl/>
              <w:spacing w:line="400" w:lineRule="exact"/>
              <w:jc w:val="left"/>
              <w:rPr>
                <w:rFonts w:ascii="宋体" w:hAnsi="宋体" w:cs="宋体"/>
                <w:color w:val="000000"/>
                <w:sz w:val="24"/>
                <w:szCs w:val="24"/>
              </w:rPr>
            </w:pPr>
            <w:r>
              <w:rPr>
                <w:rFonts w:hint="eastAsia" w:ascii="宋体" w:hAnsi="宋体" w:cs="宋体"/>
                <w:color w:val="000000"/>
                <w:sz w:val="24"/>
                <w:szCs w:val="24"/>
              </w:rPr>
              <w:t>项目实施方案及交货进度（6分）</w:t>
            </w:r>
          </w:p>
        </w:tc>
        <w:tc>
          <w:tcPr>
            <w:tcW w:w="7255" w:type="dxa"/>
            <w:vAlign w:val="center"/>
          </w:tcPr>
          <w:p>
            <w:pPr>
              <w:widowControl/>
              <w:spacing w:line="400" w:lineRule="exact"/>
              <w:jc w:val="left"/>
              <w:rPr>
                <w:rFonts w:ascii="宋体" w:hAnsi="宋体" w:cs="宋体"/>
                <w:color w:val="000000"/>
                <w:sz w:val="24"/>
                <w:szCs w:val="24"/>
              </w:rPr>
            </w:pPr>
            <w:r>
              <w:rPr>
                <w:rFonts w:hint="eastAsia" w:ascii="宋体" w:hAnsi="宋体" w:cs="宋体"/>
                <w:color w:val="000000"/>
                <w:sz w:val="24"/>
                <w:szCs w:val="24"/>
              </w:rPr>
              <w:t>能够满足采购人指定时间内交货要求且提供的实施方案及承诺较好的得6分；实施方案及承诺一般的得3分；实施方案、交货时间不满足要求的得0分；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61" w:type="dxa"/>
            <w:vAlign w:val="center"/>
          </w:tcPr>
          <w:p>
            <w:pPr>
              <w:spacing w:line="276" w:lineRule="auto"/>
              <w:jc w:val="center"/>
              <w:rPr>
                <w:rFonts w:ascii="宋体" w:hAnsi="宋体" w:cs="Calibri"/>
                <w:bCs/>
                <w:sz w:val="24"/>
                <w:szCs w:val="24"/>
              </w:rPr>
            </w:pPr>
            <w:r>
              <w:rPr>
                <w:rFonts w:hint="eastAsia" w:ascii="宋体" w:hAnsi="宋体" w:cs="Calibri"/>
                <w:bCs/>
                <w:sz w:val="24"/>
                <w:szCs w:val="24"/>
              </w:rPr>
              <w:t>5</w:t>
            </w:r>
          </w:p>
        </w:tc>
        <w:tc>
          <w:tcPr>
            <w:tcW w:w="1590" w:type="dxa"/>
            <w:vAlign w:val="center"/>
          </w:tcPr>
          <w:p>
            <w:pPr>
              <w:widowControl/>
              <w:spacing w:line="400" w:lineRule="exact"/>
              <w:jc w:val="left"/>
              <w:rPr>
                <w:rFonts w:ascii="宋体" w:hAnsi="宋体" w:cs="宋体"/>
                <w:color w:val="000000"/>
                <w:sz w:val="24"/>
                <w:szCs w:val="24"/>
              </w:rPr>
            </w:pPr>
            <w:r>
              <w:rPr>
                <w:rFonts w:hint="eastAsia" w:ascii="宋体" w:hAnsi="宋体" w:cs="宋体"/>
                <w:color w:val="000000"/>
                <w:sz w:val="24"/>
                <w:szCs w:val="24"/>
              </w:rPr>
              <w:t>服务人员、应急响应、技术支持（8分）</w:t>
            </w:r>
          </w:p>
        </w:tc>
        <w:tc>
          <w:tcPr>
            <w:tcW w:w="7255" w:type="dxa"/>
            <w:vAlign w:val="center"/>
          </w:tcPr>
          <w:p>
            <w:pPr>
              <w:widowControl/>
              <w:spacing w:line="400" w:lineRule="exact"/>
              <w:jc w:val="left"/>
              <w:rPr>
                <w:rFonts w:ascii="宋体" w:hAnsi="宋体" w:cs="宋体"/>
                <w:color w:val="000000"/>
                <w:sz w:val="24"/>
                <w:szCs w:val="24"/>
              </w:rPr>
            </w:pPr>
            <w:r>
              <w:rPr>
                <w:rFonts w:hint="eastAsia" w:ascii="宋体" w:hAnsi="宋体" w:cs="宋体"/>
                <w:color w:val="000000"/>
                <w:sz w:val="24"/>
                <w:szCs w:val="24"/>
              </w:rPr>
              <w:t>人员配备实力强、具有专业技术能力、应急响应程度高、全部满足符合且优于服务要求的得8分；人员配备一般、应急响应程度等基本符合服务要求的得4分：人员配备和应急响应程度较低的得2分；无具体内容得0分。（专业技术能力证明材料可提供注册计量师证书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61" w:type="dxa"/>
            <w:vAlign w:val="center"/>
          </w:tcPr>
          <w:p>
            <w:pPr>
              <w:spacing w:line="276" w:lineRule="auto"/>
              <w:jc w:val="center"/>
              <w:rPr>
                <w:rFonts w:ascii="宋体" w:hAnsi="宋体" w:cs="Calibri"/>
                <w:bCs/>
                <w:sz w:val="24"/>
                <w:szCs w:val="24"/>
              </w:rPr>
            </w:pPr>
            <w:r>
              <w:rPr>
                <w:rFonts w:hint="eastAsia" w:ascii="宋体" w:hAnsi="宋体" w:cs="Calibri"/>
                <w:bCs/>
                <w:sz w:val="24"/>
                <w:szCs w:val="24"/>
              </w:rPr>
              <w:t>6</w:t>
            </w:r>
          </w:p>
        </w:tc>
        <w:tc>
          <w:tcPr>
            <w:tcW w:w="1590" w:type="dxa"/>
            <w:vAlign w:val="center"/>
          </w:tcPr>
          <w:p>
            <w:pPr>
              <w:widowControl/>
              <w:spacing w:line="400" w:lineRule="exact"/>
              <w:jc w:val="left"/>
              <w:rPr>
                <w:rFonts w:ascii="宋体" w:hAnsi="宋体" w:cs="宋体"/>
                <w:color w:val="000000"/>
                <w:sz w:val="24"/>
                <w:szCs w:val="24"/>
              </w:rPr>
            </w:pPr>
            <w:r>
              <w:rPr>
                <w:rFonts w:hint="eastAsia" w:ascii="宋体" w:hAnsi="宋体" w:cs="宋体"/>
                <w:color w:val="000000"/>
                <w:sz w:val="24"/>
                <w:szCs w:val="24"/>
              </w:rPr>
              <w:t>售后服务方案包含但不限于质量保证期内、外服务承诺（8分）</w:t>
            </w:r>
          </w:p>
        </w:tc>
        <w:tc>
          <w:tcPr>
            <w:tcW w:w="7255" w:type="dxa"/>
            <w:vAlign w:val="center"/>
          </w:tcPr>
          <w:p>
            <w:pPr>
              <w:widowControl/>
              <w:spacing w:line="400" w:lineRule="exact"/>
              <w:jc w:val="left"/>
              <w:rPr>
                <w:rFonts w:ascii="宋体" w:hAnsi="宋体" w:cs="宋体"/>
                <w:color w:val="auto"/>
                <w:sz w:val="24"/>
                <w:szCs w:val="24"/>
              </w:rPr>
            </w:pPr>
            <w:r>
              <w:rPr>
                <w:rFonts w:hint="eastAsia" w:ascii="宋体" w:hAnsi="宋体" w:cs="宋体"/>
                <w:sz w:val="24"/>
                <w:szCs w:val="24"/>
              </w:rPr>
              <w:t>（1）</w:t>
            </w:r>
            <w:r>
              <w:rPr>
                <w:rFonts w:hint="eastAsia" w:ascii="宋体" w:hAnsi="宋体" w:cs="宋体"/>
                <w:color w:val="000000"/>
                <w:sz w:val="24"/>
                <w:szCs w:val="24"/>
              </w:rPr>
              <w:t>售后服务方案的完整性、合理性等;质量保证期内、外的售后服务计划与招标文件要求的响应</w:t>
            </w:r>
            <w:bookmarkStart w:id="8" w:name="_GoBack"/>
            <w:r>
              <w:rPr>
                <w:rFonts w:hint="eastAsia" w:ascii="宋体" w:hAnsi="宋体" w:cs="宋体"/>
                <w:color w:val="auto"/>
                <w:sz w:val="24"/>
                <w:szCs w:val="24"/>
              </w:rPr>
              <w:t>情况。完整性好、合理性高的得3分：完整性、合理性响应程度一般的得2分；完整性、合理性响应程度较低的得1分；无具体内容得0分。</w:t>
            </w:r>
          </w:p>
          <w:bookmarkEnd w:id="8"/>
          <w:p>
            <w:pPr>
              <w:pStyle w:val="2"/>
              <w:spacing w:before="158"/>
              <w:ind w:firstLine="0" w:firstLineChars="0"/>
              <w:rPr>
                <w:color w:val="FF0000"/>
              </w:rPr>
            </w:pPr>
            <w:r>
              <w:rPr>
                <w:rFonts w:hint="eastAsia" w:ascii="宋体" w:hAnsi="宋体" w:cs="宋体"/>
                <w:color w:val="auto"/>
              </w:rPr>
              <w:t>（2）供应商具有质量服务诚信AAA认证得5分，AA认证得3分，A认证得1分，A以下或无则不得分，提供证书复印件（原件或公证件备查）。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61" w:type="dxa"/>
            <w:vAlign w:val="center"/>
          </w:tcPr>
          <w:p>
            <w:pPr>
              <w:spacing w:line="276" w:lineRule="auto"/>
              <w:jc w:val="center"/>
              <w:rPr>
                <w:rFonts w:ascii="宋体" w:hAnsi="宋体" w:cs="Calibri"/>
                <w:bCs/>
                <w:sz w:val="24"/>
                <w:szCs w:val="24"/>
              </w:rPr>
            </w:pPr>
            <w:r>
              <w:rPr>
                <w:rFonts w:ascii="宋体" w:hAnsi="宋体" w:cs="Calibri"/>
                <w:bCs/>
                <w:sz w:val="24"/>
                <w:szCs w:val="24"/>
              </w:rPr>
              <w:t>7</w:t>
            </w:r>
          </w:p>
        </w:tc>
        <w:tc>
          <w:tcPr>
            <w:tcW w:w="1590" w:type="dxa"/>
            <w:vAlign w:val="center"/>
          </w:tcPr>
          <w:p>
            <w:pPr>
              <w:widowControl/>
              <w:spacing w:line="400" w:lineRule="exact"/>
              <w:jc w:val="left"/>
              <w:rPr>
                <w:rFonts w:ascii="宋体" w:hAnsi="宋体" w:cs="宋体"/>
                <w:color w:val="000000"/>
                <w:sz w:val="24"/>
                <w:szCs w:val="24"/>
              </w:rPr>
            </w:pPr>
            <w:r>
              <w:rPr>
                <w:rFonts w:hint="eastAsia" w:ascii="宋体" w:hAnsi="宋体" w:cs="宋体"/>
                <w:color w:val="000000"/>
                <w:sz w:val="24"/>
                <w:szCs w:val="24"/>
              </w:rPr>
              <w:t>投标文件制作完整、规范性（3分）</w:t>
            </w:r>
          </w:p>
        </w:tc>
        <w:tc>
          <w:tcPr>
            <w:tcW w:w="7255" w:type="dxa"/>
            <w:vAlign w:val="center"/>
          </w:tcPr>
          <w:p>
            <w:pPr>
              <w:widowControl/>
              <w:spacing w:line="400" w:lineRule="exact"/>
              <w:jc w:val="left"/>
              <w:rPr>
                <w:rFonts w:ascii="宋体" w:hAnsi="宋体" w:cs="Calibri"/>
                <w:bCs/>
                <w:sz w:val="24"/>
                <w:szCs w:val="24"/>
              </w:rPr>
            </w:pPr>
            <w:r>
              <w:rPr>
                <w:rFonts w:hint="eastAsia" w:ascii="宋体" w:hAnsi="宋体" w:cs="宋体"/>
                <w:color w:val="000000"/>
                <w:sz w:val="24"/>
                <w:szCs w:val="24"/>
              </w:rPr>
              <w:t>根据投标文件制作是否规范、总体描述是否清晰、明确、准确。由评委酌情评分。最优为3分，一般为1-2分。</w:t>
            </w:r>
          </w:p>
        </w:tc>
      </w:tr>
    </w:tbl>
    <w:p>
      <w:pPr>
        <w:snapToGrid w:val="0"/>
        <w:spacing w:line="360" w:lineRule="auto"/>
        <w:outlineLvl w:val="2"/>
        <w:rPr>
          <w:rFonts w:ascii="宋体" w:hAnsi="宋体" w:cs="宋体"/>
          <w:color w:val="FF0000"/>
          <w:sz w:val="24"/>
          <w:szCs w:val="24"/>
        </w:rPr>
      </w:pPr>
    </w:p>
    <w:p>
      <w:pPr>
        <w:snapToGrid w:val="0"/>
        <w:spacing w:line="360" w:lineRule="auto"/>
        <w:ind w:firstLine="354" w:firstLineChars="147"/>
        <w:outlineLvl w:val="2"/>
        <w:rPr>
          <w:rFonts w:hAnsi="宋体" w:cs="宋体"/>
          <w:b/>
          <w:sz w:val="24"/>
          <w:szCs w:val="24"/>
        </w:rPr>
      </w:pPr>
      <w:r>
        <w:rPr>
          <w:rFonts w:hint="eastAsia" w:hAnsi="宋体" w:cs="宋体"/>
          <w:b/>
          <w:sz w:val="24"/>
          <w:szCs w:val="24"/>
        </w:rPr>
        <w:t>六、出现下列情形之一的，作无效标处理</w:t>
      </w:r>
    </w:p>
    <w:p>
      <w:pPr>
        <w:snapToGrid w:val="0"/>
        <w:spacing w:line="360" w:lineRule="auto"/>
        <w:ind w:firstLine="480" w:firstLineChars="200"/>
        <w:rPr>
          <w:rFonts w:hAnsi="宋体" w:cs="宋体"/>
          <w:sz w:val="24"/>
          <w:szCs w:val="24"/>
        </w:rPr>
      </w:pPr>
      <w:r>
        <w:rPr>
          <w:rFonts w:hAnsi="宋体" w:cs="宋体"/>
          <w:sz w:val="24"/>
          <w:szCs w:val="24"/>
        </w:rPr>
        <w:t>1</w:t>
      </w:r>
      <w:r>
        <w:rPr>
          <w:rFonts w:hint="eastAsia" w:ascii="宋体" w:hAnsi="宋体" w:cs="宋体"/>
          <w:sz w:val="24"/>
          <w:szCs w:val="24"/>
        </w:rPr>
        <w:t>.</w:t>
      </w:r>
      <w:r>
        <w:rPr>
          <w:rFonts w:hint="eastAsia" w:hAnsi="宋体" w:cs="宋体"/>
          <w:sz w:val="24"/>
          <w:szCs w:val="24"/>
        </w:rPr>
        <w:t>响应文件未按规定要求装订、密封、签署、盖章及主要资料不齐全的；</w:t>
      </w:r>
    </w:p>
    <w:p>
      <w:pPr>
        <w:snapToGrid w:val="0"/>
        <w:spacing w:line="360" w:lineRule="auto"/>
        <w:ind w:firstLine="480" w:firstLineChars="200"/>
        <w:rPr>
          <w:rFonts w:hAnsi="宋体" w:cs="宋体"/>
          <w:sz w:val="24"/>
          <w:szCs w:val="24"/>
        </w:rPr>
      </w:pPr>
      <w:r>
        <w:rPr>
          <w:rFonts w:hAnsi="宋体" w:cs="宋体"/>
          <w:sz w:val="24"/>
          <w:szCs w:val="24"/>
        </w:rPr>
        <w:t>2</w:t>
      </w:r>
      <w:r>
        <w:rPr>
          <w:rFonts w:hint="eastAsia" w:ascii="宋体" w:hAnsi="宋体" w:cs="宋体"/>
          <w:sz w:val="24"/>
          <w:szCs w:val="24"/>
        </w:rPr>
        <w:t>.</w:t>
      </w:r>
      <w:r>
        <w:rPr>
          <w:rFonts w:hint="eastAsia" w:hAnsi="宋体" w:cs="宋体"/>
          <w:sz w:val="24"/>
          <w:szCs w:val="24"/>
        </w:rPr>
        <w:t>响应文件的资料有虚报或者谎报的；</w:t>
      </w:r>
    </w:p>
    <w:p>
      <w:pPr>
        <w:snapToGrid w:val="0"/>
        <w:spacing w:line="360" w:lineRule="auto"/>
        <w:ind w:firstLine="480" w:firstLineChars="200"/>
        <w:rPr>
          <w:rFonts w:hAnsi="宋体" w:cs="宋体"/>
          <w:sz w:val="24"/>
          <w:szCs w:val="24"/>
        </w:rPr>
      </w:pPr>
      <w:r>
        <w:rPr>
          <w:rFonts w:hAnsi="宋体" w:cs="宋体"/>
          <w:sz w:val="24"/>
          <w:szCs w:val="24"/>
        </w:rPr>
        <w:t>3</w:t>
      </w:r>
      <w:r>
        <w:rPr>
          <w:rFonts w:hint="eastAsia" w:ascii="宋体" w:hAnsi="宋体" w:cs="宋体"/>
          <w:sz w:val="24"/>
          <w:szCs w:val="24"/>
        </w:rPr>
        <w:t>.</w:t>
      </w:r>
      <w:r>
        <w:rPr>
          <w:rFonts w:hint="eastAsia" w:hAnsi="宋体" w:cs="宋体"/>
          <w:sz w:val="24"/>
          <w:szCs w:val="24"/>
        </w:rPr>
        <w:t>不具备磋商文件规定的资格要求的；</w:t>
      </w:r>
    </w:p>
    <w:p>
      <w:pPr>
        <w:snapToGrid w:val="0"/>
        <w:spacing w:line="360" w:lineRule="auto"/>
        <w:ind w:firstLine="480" w:firstLineChars="200"/>
        <w:rPr>
          <w:rFonts w:hAnsi="宋体" w:cs="宋体"/>
          <w:sz w:val="24"/>
          <w:szCs w:val="24"/>
        </w:rPr>
      </w:pPr>
      <w:r>
        <w:rPr>
          <w:rFonts w:hAnsi="宋体" w:cs="宋体"/>
          <w:sz w:val="24"/>
          <w:szCs w:val="24"/>
        </w:rPr>
        <w:t>4</w:t>
      </w:r>
      <w:r>
        <w:rPr>
          <w:rFonts w:hint="eastAsia" w:ascii="宋体" w:hAnsi="宋体" w:cs="宋体"/>
          <w:sz w:val="24"/>
          <w:szCs w:val="24"/>
        </w:rPr>
        <w:t>.</w:t>
      </w:r>
      <w:r>
        <w:rPr>
          <w:rFonts w:hint="eastAsia" w:hAnsi="宋体" w:cs="宋体"/>
          <w:sz w:val="24"/>
          <w:szCs w:val="24"/>
        </w:rPr>
        <w:t>响应文件有重大漏项或重大不合理的；</w:t>
      </w:r>
    </w:p>
    <w:p>
      <w:pPr>
        <w:snapToGrid w:val="0"/>
        <w:spacing w:line="360" w:lineRule="auto"/>
        <w:ind w:firstLine="480" w:firstLineChars="200"/>
        <w:rPr>
          <w:rFonts w:hAnsi="宋体" w:cs="宋体"/>
          <w:sz w:val="24"/>
          <w:szCs w:val="24"/>
        </w:rPr>
      </w:pPr>
      <w:r>
        <w:rPr>
          <w:rFonts w:hAnsi="宋体" w:cs="宋体"/>
          <w:sz w:val="24"/>
          <w:szCs w:val="24"/>
        </w:rPr>
        <w:t>5</w:t>
      </w:r>
      <w:r>
        <w:rPr>
          <w:rFonts w:hint="eastAsia" w:ascii="宋体" w:hAnsi="宋体" w:cs="宋体"/>
          <w:sz w:val="24"/>
          <w:szCs w:val="24"/>
        </w:rPr>
        <w:t>.</w:t>
      </w:r>
      <w:r>
        <w:rPr>
          <w:rFonts w:hint="eastAsia" w:hAnsi="宋体" w:cs="宋体"/>
          <w:sz w:val="24"/>
          <w:szCs w:val="24"/>
        </w:rPr>
        <w:t>项目服务要求、方案不满足项目需求中的要求，有重大偏离或保留的；</w:t>
      </w:r>
    </w:p>
    <w:p>
      <w:pPr>
        <w:snapToGrid w:val="0"/>
        <w:spacing w:line="360" w:lineRule="auto"/>
        <w:ind w:firstLine="480" w:firstLineChars="200"/>
        <w:rPr>
          <w:rFonts w:hAnsi="宋体" w:cs="宋体"/>
          <w:sz w:val="24"/>
          <w:szCs w:val="24"/>
        </w:rPr>
      </w:pPr>
      <w:r>
        <w:rPr>
          <w:rFonts w:hAnsi="宋体" w:cs="宋体"/>
          <w:sz w:val="24"/>
          <w:szCs w:val="24"/>
        </w:rPr>
        <w:t>6</w:t>
      </w:r>
      <w:r>
        <w:rPr>
          <w:rFonts w:hint="eastAsia" w:ascii="宋体" w:hAnsi="宋体" w:cs="宋体"/>
          <w:sz w:val="24"/>
          <w:szCs w:val="24"/>
        </w:rPr>
        <w:t>.</w:t>
      </w:r>
      <w:r>
        <w:rPr>
          <w:rFonts w:hint="eastAsia" w:hAnsi="宋体" w:cs="宋体"/>
          <w:sz w:val="24"/>
          <w:szCs w:val="24"/>
        </w:rPr>
        <w:t>磋商响应报价超出项目预算的；</w:t>
      </w:r>
    </w:p>
    <w:p>
      <w:pPr>
        <w:snapToGrid w:val="0"/>
        <w:spacing w:line="360" w:lineRule="auto"/>
        <w:ind w:firstLine="480" w:firstLineChars="200"/>
        <w:rPr>
          <w:rFonts w:hAnsi="宋体" w:cs="宋体"/>
          <w:sz w:val="24"/>
          <w:szCs w:val="24"/>
        </w:rPr>
      </w:pPr>
      <w:r>
        <w:rPr>
          <w:rFonts w:hAnsi="宋体" w:cs="宋体"/>
          <w:sz w:val="24"/>
          <w:szCs w:val="24"/>
        </w:rPr>
        <w:t>7</w:t>
      </w:r>
      <w:r>
        <w:rPr>
          <w:rFonts w:hint="eastAsia" w:ascii="宋体" w:hAnsi="宋体" w:cs="宋体"/>
          <w:sz w:val="24"/>
          <w:szCs w:val="24"/>
        </w:rPr>
        <w:t>.</w:t>
      </w:r>
      <w:r>
        <w:rPr>
          <w:rFonts w:hint="eastAsia" w:hAnsi="宋体" w:cs="宋体"/>
          <w:sz w:val="24"/>
          <w:szCs w:val="24"/>
        </w:rPr>
        <w:t>被认定为低于成本报价磋商竞标的；</w:t>
      </w:r>
    </w:p>
    <w:p>
      <w:pPr>
        <w:snapToGrid w:val="0"/>
        <w:spacing w:line="360" w:lineRule="auto"/>
        <w:ind w:firstLine="480" w:firstLineChars="200"/>
        <w:rPr>
          <w:rFonts w:hAnsi="宋体" w:cs="宋体"/>
          <w:sz w:val="24"/>
          <w:szCs w:val="24"/>
        </w:rPr>
      </w:pPr>
      <w:r>
        <w:rPr>
          <w:rFonts w:hAnsi="宋体" w:cs="宋体"/>
          <w:sz w:val="24"/>
          <w:szCs w:val="24"/>
        </w:rPr>
        <w:t>8</w:t>
      </w:r>
      <w:r>
        <w:rPr>
          <w:rFonts w:hint="eastAsia" w:ascii="宋体" w:hAnsi="宋体" w:cs="宋体"/>
          <w:sz w:val="24"/>
          <w:szCs w:val="24"/>
        </w:rPr>
        <w:t>.</w:t>
      </w:r>
      <w:r>
        <w:rPr>
          <w:rFonts w:hint="eastAsia" w:hAnsi="宋体" w:cs="宋体"/>
          <w:sz w:val="24"/>
          <w:szCs w:val="24"/>
        </w:rPr>
        <w:t>不符合法律、法规和磋商文件中规定的其他实质性响应要求的；</w:t>
      </w:r>
    </w:p>
    <w:p>
      <w:pPr>
        <w:snapToGrid w:val="0"/>
        <w:spacing w:line="360" w:lineRule="auto"/>
        <w:ind w:firstLine="480" w:firstLineChars="200"/>
        <w:rPr>
          <w:rFonts w:hAnsi="宋体" w:cs="宋体"/>
          <w:sz w:val="24"/>
          <w:szCs w:val="24"/>
        </w:rPr>
      </w:pPr>
      <w:r>
        <w:rPr>
          <w:rFonts w:hAnsi="宋体" w:cs="宋体"/>
          <w:sz w:val="24"/>
          <w:szCs w:val="24"/>
        </w:rPr>
        <w:t>9</w:t>
      </w:r>
      <w:r>
        <w:rPr>
          <w:rFonts w:hint="eastAsia" w:ascii="宋体" w:hAnsi="宋体" w:cs="宋体"/>
          <w:sz w:val="24"/>
          <w:szCs w:val="24"/>
        </w:rPr>
        <w:t>.</w:t>
      </w:r>
      <w:r>
        <w:rPr>
          <w:rFonts w:hint="eastAsia" w:hAnsi="宋体" w:cs="宋体"/>
          <w:sz w:val="24"/>
          <w:szCs w:val="24"/>
        </w:rPr>
        <w:t>磋商小组依据法律法规可以认定为无效磋商的其他情况。</w:t>
      </w:r>
    </w:p>
    <w:p>
      <w:pPr>
        <w:snapToGrid w:val="0"/>
        <w:spacing w:line="360" w:lineRule="auto"/>
        <w:ind w:firstLine="482" w:firstLineChars="200"/>
        <w:outlineLvl w:val="1"/>
        <w:rPr>
          <w:rFonts w:hAnsi="宋体" w:cs="宋体"/>
          <w:b/>
          <w:sz w:val="24"/>
          <w:szCs w:val="24"/>
        </w:rPr>
      </w:pPr>
      <w:r>
        <w:rPr>
          <w:rFonts w:hint="eastAsia" w:hAnsi="宋体" w:cs="宋体"/>
          <w:b/>
          <w:sz w:val="24"/>
          <w:szCs w:val="24"/>
        </w:rPr>
        <w:t>七、出现下列情形之一的，作废标处理</w:t>
      </w:r>
    </w:p>
    <w:p>
      <w:pPr>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ascii="宋体" w:hAnsi="宋体" w:cs="宋体"/>
          <w:sz w:val="24"/>
          <w:szCs w:val="24"/>
        </w:rPr>
        <w:t>.</w:t>
      </w:r>
      <w:r>
        <w:rPr>
          <w:rFonts w:hint="eastAsia" w:hAnsi="宋体" w:cs="宋体"/>
          <w:sz w:val="24"/>
          <w:szCs w:val="24"/>
        </w:rPr>
        <w:t>供应商的报价均超出了采购预算，采购单位不能支付的；</w:t>
      </w:r>
    </w:p>
    <w:p>
      <w:pPr>
        <w:snapToGrid w:val="0"/>
        <w:spacing w:line="360" w:lineRule="auto"/>
        <w:ind w:firstLine="480" w:firstLineChars="200"/>
        <w:rPr>
          <w:rFonts w:hAnsi="宋体" w:cs="宋体"/>
          <w:sz w:val="24"/>
          <w:szCs w:val="24"/>
        </w:rPr>
      </w:pPr>
      <w:r>
        <w:rPr>
          <w:rFonts w:hint="eastAsia" w:hAnsi="宋体" w:cs="宋体"/>
          <w:sz w:val="24"/>
          <w:szCs w:val="24"/>
        </w:rPr>
        <w:t>2</w:t>
      </w:r>
      <w:r>
        <w:rPr>
          <w:rFonts w:hint="eastAsia" w:ascii="宋体" w:hAnsi="宋体" w:cs="宋体"/>
          <w:sz w:val="24"/>
          <w:szCs w:val="24"/>
        </w:rPr>
        <w:t>.</w:t>
      </w:r>
      <w:r>
        <w:rPr>
          <w:rFonts w:hint="eastAsia" w:hAnsi="宋体" w:cs="宋体"/>
          <w:sz w:val="24"/>
          <w:szCs w:val="24"/>
        </w:rPr>
        <w:t>因情况变化，不再符合规定的竞争性磋商采购方式所适用情形的；</w:t>
      </w:r>
    </w:p>
    <w:p>
      <w:pPr>
        <w:snapToGrid w:val="0"/>
        <w:spacing w:line="360" w:lineRule="auto"/>
        <w:ind w:firstLine="480" w:firstLineChars="200"/>
        <w:rPr>
          <w:rFonts w:hAnsi="宋体" w:cs="宋体"/>
          <w:sz w:val="24"/>
          <w:szCs w:val="24"/>
        </w:rPr>
      </w:pPr>
      <w:r>
        <w:rPr>
          <w:rFonts w:hint="eastAsia" w:hAnsi="宋体" w:cs="宋体"/>
          <w:sz w:val="24"/>
          <w:szCs w:val="24"/>
        </w:rPr>
        <w:t>3</w:t>
      </w:r>
      <w:r>
        <w:rPr>
          <w:rFonts w:hint="eastAsia" w:ascii="宋体" w:hAnsi="宋体" w:cs="宋体"/>
          <w:sz w:val="24"/>
          <w:szCs w:val="24"/>
        </w:rPr>
        <w:t>.</w:t>
      </w:r>
      <w:r>
        <w:rPr>
          <w:rFonts w:hint="eastAsia" w:hAnsi="宋体" w:cs="宋体"/>
          <w:sz w:val="24"/>
          <w:szCs w:val="24"/>
        </w:rPr>
        <w:t>出现影响采购公正的违法、违规行为的；</w:t>
      </w:r>
    </w:p>
    <w:p>
      <w:pPr>
        <w:snapToGrid w:val="0"/>
        <w:spacing w:line="360" w:lineRule="auto"/>
        <w:ind w:firstLine="480" w:firstLineChars="200"/>
        <w:rPr>
          <w:rFonts w:hAnsi="宋体" w:cs="宋体"/>
          <w:sz w:val="24"/>
          <w:szCs w:val="24"/>
        </w:rPr>
      </w:pPr>
      <w:r>
        <w:rPr>
          <w:rFonts w:hint="eastAsia" w:hAnsi="宋体" w:cs="宋体"/>
          <w:sz w:val="24"/>
          <w:szCs w:val="24"/>
        </w:rPr>
        <w:t>4</w:t>
      </w:r>
      <w:r>
        <w:rPr>
          <w:rFonts w:hint="eastAsia" w:ascii="宋体" w:hAnsi="宋体" w:cs="宋体"/>
          <w:sz w:val="24"/>
          <w:szCs w:val="24"/>
        </w:rPr>
        <w:t>.</w:t>
      </w:r>
      <w:r>
        <w:rPr>
          <w:rFonts w:hint="eastAsia" w:hAnsi="宋体" w:cs="宋体"/>
          <w:sz w:val="24"/>
          <w:szCs w:val="24"/>
        </w:rPr>
        <w:t>因重大变故，采购任务取消的；</w:t>
      </w:r>
    </w:p>
    <w:p>
      <w:pPr>
        <w:snapToGrid w:val="0"/>
        <w:spacing w:line="360" w:lineRule="auto"/>
        <w:ind w:firstLine="480" w:firstLineChars="200"/>
        <w:rPr>
          <w:rFonts w:hAnsi="宋体" w:cs="宋体"/>
          <w:sz w:val="24"/>
          <w:szCs w:val="24"/>
        </w:rPr>
      </w:pPr>
      <w:r>
        <w:rPr>
          <w:rFonts w:hint="eastAsia" w:hAnsi="宋体" w:cs="宋体"/>
          <w:sz w:val="24"/>
          <w:szCs w:val="24"/>
        </w:rPr>
        <w:t>5</w:t>
      </w:r>
      <w:r>
        <w:rPr>
          <w:rFonts w:hint="eastAsia" w:ascii="宋体" w:hAnsi="宋体" w:cs="宋体"/>
          <w:sz w:val="24"/>
          <w:szCs w:val="24"/>
        </w:rPr>
        <w:t>.</w:t>
      </w:r>
      <w:r>
        <w:rPr>
          <w:rFonts w:hint="eastAsia" w:hAnsi="宋体" w:cs="宋体"/>
          <w:sz w:val="24"/>
          <w:szCs w:val="24"/>
        </w:rPr>
        <w:t>磋商小组依据法律法规可以认定为废标的其他情况。</w:t>
      </w:r>
    </w:p>
    <w:p>
      <w:pPr>
        <w:snapToGrid w:val="0"/>
        <w:spacing w:line="360" w:lineRule="auto"/>
        <w:ind w:firstLine="482" w:firstLineChars="200"/>
        <w:outlineLvl w:val="1"/>
        <w:rPr>
          <w:rFonts w:hAnsi="宋体" w:cs="宋体"/>
          <w:b/>
          <w:sz w:val="24"/>
          <w:szCs w:val="24"/>
        </w:rPr>
      </w:pPr>
      <w:r>
        <w:rPr>
          <w:rFonts w:hint="eastAsia" w:hAnsi="宋体" w:cs="宋体"/>
          <w:b/>
          <w:sz w:val="24"/>
          <w:szCs w:val="24"/>
        </w:rPr>
        <w:t>八、成交通知</w:t>
      </w:r>
    </w:p>
    <w:p>
      <w:pPr>
        <w:spacing w:line="360" w:lineRule="auto"/>
        <w:ind w:firstLine="484" w:firstLineChars="202"/>
        <w:jc w:val="left"/>
        <w:rPr>
          <w:rFonts w:hAnsi="宋体" w:cs="宋体"/>
          <w:kern w:val="0"/>
          <w:sz w:val="24"/>
          <w:szCs w:val="24"/>
        </w:rPr>
      </w:pPr>
      <w:r>
        <w:rPr>
          <w:rFonts w:hint="eastAsia" w:hAnsi="宋体" w:cs="宋体"/>
          <w:kern w:val="0"/>
          <w:sz w:val="24"/>
          <w:szCs w:val="24"/>
        </w:rPr>
        <w:t>成交结果在发布公告的网站公示</w:t>
      </w:r>
      <w:r>
        <w:rPr>
          <w:rFonts w:hint="eastAsia" w:hAnsi="宋体" w:cs="宋体"/>
          <w:b/>
          <w:kern w:val="0"/>
          <w:sz w:val="24"/>
          <w:szCs w:val="24"/>
          <w:u w:val="single"/>
        </w:rPr>
        <w:t>1</w:t>
      </w:r>
      <w:r>
        <w:rPr>
          <w:rFonts w:hint="eastAsia" w:hAnsi="宋体" w:cs="宋体"/>
          <w:kern w:val="0"/>
          <w:sz w:val="24"/>
          <w:szCs w:val="24"/>
        </w:rPr>
        <w:t>个工作日。《成交通知书》一经发出，采购单位改变成交结果，或者成交人放弃成交的，各自承担相应的法律责任。《成交通知书》是采购合同的组成部分。</w:t>
      </w:r>
    </w:p>
    <w:p>
      <w:pPr>
        <w:pStyle w:val="66"/>
        <w:ind w:firstLine="482" w:firstLineChars="200"/>
        <w:jc w:val="both"/>
        <w:rPr>
          <w:rFonts w:ascii="宋体" w:hAnsi="宋体" w:cs="宋体"/>
          <w:b/>
          <w:kern w:val="2"/>
          <w:szCs w:val="24"/>
        </w:rPr>
      </w:pPr>
      <w:r>
        <w:rPr>
          <w:rFonts w:hint="eastAsia" w:ascii="Times New Roman" w:hAnsi="宋体" w:cs="宋体"/>
          <w:b/>
          <w:kern w:val="2"/>
          <w:szCs w:val="24"/>
        </w:rPr>
        <w:t>九、政府</w:t>
      </w:r>
      <w:r>
        <w:rPr>
          <w:rFonts w:hint="eastAsia" w:ascii="宋体" w:hAnsi="宋体" w:cs="宋体"/>
          <w:b/>
          <w:kern w:val="2"/>
          <w:szCs w:val="24"/>
        </w:rPr>
        <w:t>采购政策功能落实</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1、小微型企业价格扣除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（1）本项目对小型和微型企业产品给予10%的扣除价格，用扣除后的价格参与评审。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（2）供应商需按照采购文件的要求提供相应的《小型、微型企业声明函》。</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（3）企业标准请参照《关于印发中小企业划型标准规定的通知》（工信部联企业[2011]300号）文件规定自行填写。</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2、残疾人福利单位价格扣除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（1）本项目对残疾人福利性单位视同小型、微型企业，给予10%的价格扣除，用扣除后的价格参与评审。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（2）残疾人福利单位需按照采购文件的要求提供《残疾人福利性单位声明函》。</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（3）残疾人福利单位标准请参照《关于促进残疾人就业政府采购政策的通知》（财库〔2017〕141号）。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3、监狱和戒毒企业价格扣除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（1）本项目对监狱和戒毒企业（简称监狱企业）视同小型、微型企业，给予10%的价格扣除，用扣除后的价格参与评审。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（3）监狱企业标准请参照《关于政府采购支持监狱企业发展有关问题的通知》（财库[2014]68号）。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4、残疾人福利单位、监狱企业属于小型、微型企业的，不重复享受政策。</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6、联合体各方均为小型、微型企业（残疾人福利单位、监狱企业）的，联合体享受10%价格扣除，用扣除后的价格参与评审。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7、根据《江苏省政府采购信用管理暂行办法》的规定，对有失信行为的供应商将根据信用评价结果按规定予以扣分或价格加成。</w:t>
      </w:r>
    </w:p>
    <w:p>
      <w:pPr>
        <w:sectPr>
          <w:headerReference r:id="rId6" w:type="default"/>
          <w:footerReference r:id="rId7" w:type="default"/>
          <w:pgSz w:w="11906" w:h="16838"/>
          <w:pgMar w:top="1361" w:right="1020" w:bottom="1361" w:left="1077" w:header="851" w:footer="992" w:gutter="0"/>
          <w:cols w:space="720" w:num="1"/>
          <w:docGrid w:type="lines" w:linePitch="317" w:charSpace="0"/>
        </w:sectPr>
      </w:pPr>
    </w:p>
    <w:p>
      <w:pPr>
        <w:snapToGrid w:val="0"/>
        <w:spacing w:line="360" w:lineRule="auto"/>
        <w:jc w:val="center"/>
        <w:rPr>
          <w:rFonts w:hAnsi="宋体"/>
          <w:b/>
          <w:w w:val="80"/>
          <w:kern w:val="44"/>
          <w:sz w:val="44"/>
          <w:szCs w:val="44"/>
        </w:rPr>
      </w:pPr>
      <w:r>
        <w:rPr>
          <w:rFonts w:hint="eastAsia" w:hAnsi="宋体"/>
          <w:b/>
          <w:w w:val="80"/>
          <w:kern w:val="44"/>
          <w:sz w:val="44"/>
          <w:szCs w:val="44"/>
        </w:rPr>
        <w:t>第五章  合同授予</w:t>
      </w:r>
    </w:p>
    <w:p>
      <w:pPr>
        <w:spacing w:line="360" w:lineRule="auto"/>
        <w:ind w:firstLine="484" w:firstLineChars="202"/>
        <w:rPr>
          <w:rFonts w:hAnsi="宋体" w:cs="宋体"/>
          <w:kern w:val="0"/>
          <w:sz w:val="28"/>
          <w:szCs w:val="28"/>
        </w:rPr>
      </w:pPr>
      <w:r>
        <w:rPr>
          <w:rFonts w:hint="eastAsia" w:hAnsi="宋体" w:cs="宋体"/>
          <w:sz w:val="24"/>
          <w:szCs w:val="24"/>
        </w:rPr>
        <w:t>一、</w:t>
      </w:r>
      <w:r>
        <w:rPr>
          <w:rFonts w:hint="eastAsia" w:hAnsi="宋体" w:cs="宋体"/>
          <w:kern w:val="0"/>
          <w:sz w:val="24"/>
          <w:szCs w:val="24"/>
        </w:rPr>
        <w:t xml:space="preserve">成交人在《成交通知书》发出15日内须按照磋商文件确定的事项签订政府采购合同。合同一式四份，采购单位、成交人各执两份。所签合同不得对磋商文件作实质性修改。采购单位不得向成交人提出不合理的要求作为签订合同的条件，不得与成交人私下订立背离磋商文件实质性内容的协议。 </w:t>
      </w:r>
    </w:p>
    <w:p>
      <w:pPr>
        <w:snapToGrid w:val="0"/>
        <w:spacing w:line="360" w:lineRule="auto"/>
        <w:ind w:firstLine="573"/>
        <w:rPr>
          <w:rFonts w:hAnsi="宋体" w:cs="宋体"/>
          <w:sz w:val="24"/>
          <w:szCs w:val="24"/>
        </w:rPr>
      </w:pPr>
      <w:r>
        <w:rPr>
          <w:rFonts w:hint="eastAsia" w:hAnsi="宋体" w:cs="宋体"/>
          <w:sz w:val="24"/>
          <w:szCs w:val="24"/>
        </w:rPr>
        <w:t xml:space="preserve"> 二、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pPr>
        <w:snapToGrid w:val="0"/>
        <w:spacing w:line="360" w:lineRule="auto"/>
        <w:ind w:firstLine="573"/>
        <w:rPr>
          <w:rFonts w:hAnsi="宋体" w:cs="宋体"/>
          <w:sz w:val="24"/>
          <w:szCs w:val="24"/>
        </w:rPr>
      </w:pPr>
      <w:r>
        <w:rPr>
          <w:rFonts w:hint="eastAsia" w:hAnsi="宋体" w:cs="宋体"/>
          <w:sz w:val="24"/>
          <w:szCs w:val="24"/>
        </w:rPr>
        <w:t>三、成交人出现违约情形，应当及时纠正或补偿；造成损失的，按合同约定追究违约责任；发现有假冒、伪劣、走私产品、商业贿赂等违法情形的，应由采购单位移交工商、质监、公安等行政执法部门依法查处。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360" w:lineRule="auto"/>
        <w:ind w:firstLine="573"/>
        <w:rPr>
          <w:rFonts w:hAnsi="宋体" w:cs="宋体"/>
          <w:sz w:val="24"/>
          <w:szCs w:val="24"/>
        </w:rPr>
      </w:pPr>
      <w:r>
        <w:rPr>
          <w:rFonts w:hint="eastAsia" w:hAnsi="宋体" w:cs="宋体"/>
          <w:sz w:val="24"/>
          <w:szCs w:val="24"/>
        </w:rPr>
        <w:t>四、按采购合同约定支付合同款。</w:t>
      </w:r>
    </w:p>
    <w:p>
      <w:pPr>
        <w:snapToGrid w:val="0"/>
        <w:spacing w:line="360" w:lineRule="auto"/>
        <w:ind w:firstLine="573"/>
        <w:rPr>
          <w:rFonts w:hAnsi="宋体" w:cs="宋体"/>
          <w:sz w:val="24"/>
          <w:szCs w:val="24"/>
        </w:rPr>
      </w:pPr>
      <w:r>
        <w:rPr>
          <w:rFonts w:hint="eastAsia" w:hAnsi="宋体" w:cs="宋体"/>
          <w:sz w:val="24"/>
          <w:szCs w:val="24"/>
        </w:rPr>
        <w:t>五、不响应付款方式的，视同响应文件无效，按无效响应文件处理。</w:t>
      </w:r>
    </w:p>
    <w:p>
      <w:pPr>
        <w:snapToGrid w:val="0"/>
        <w:spacing w:line="360" w:lineRule="auto"/>
        <w:ind w:firstLine="573"/>
        <w:rPr>
          <w:rFonts w:hAnsi="宋体" w:cs="宋体"/>
          <w:sz w:val="24"/>
          <w:szCs w:val="24"/>
        </w:rPr>
      </w:pPr>
      <w:r>
        <w:rPr>
          <w:rFonts w:hint="eastAsia" w:hAnsi="宋体" w:cs="宋体"/>
          <w:sz w:val="24"/>
          <w:szCs w:val="24"/>
        </w:rPr>
        <w:t>六、付款方式详见磋商文件第二章。</w:t>
      </w:r>
    </w:p>
    <w:p>
      <w:pPr>
        <w:snapToGrid w:val="0"/>
        <w:spacing w:line="360" w:lineRule="auto"/>
        <w:ind w:firstLine="573"/>
        <w:rPr>
          <w:rFonts w:hAnsi="宋体" w:cs="宋体"/>
          <w:sz w:val="24"/>
          <w:szCs w:val="24"/>
        </w:rPr>
      </w:pPr>
      <w:r>
        <w:rPr>
          <w:rFonts w:hint="eastAsia" w:hAnsi="宋体" w:cs="宋体"/>
          <w:sz w:val="24"/>
          <w:szCs w:val="24"/>
        </w:rPr>
        <w:t>七、以上项目款的支付不计息。</w:t>
      </w:r>
    </w:p>
    <w:p>
      <w:pPr>
        <w:snapToGrid w:val="0"/>
        <w:spacing w:line="360" w:lineRule="auto"/>
        <w:jc w:val="center"/>
        <w:rPr>
          <w:rFonts w:hAnsi="宋体"/>
          <w:sz w:val="28"/>
          <w:szCs w:val="28"/>
        </w:rPr>
      </w:pPr>
      <w:r>
        <w:rPr>
          <w:rFonts w:hAnsi="宋体" w:cs="宋体"/>
          <w:kern w:val="0"/>
          <w:sz w:val="28"/>
          <w:szCs w:val="28"/>
        </w:rPr>
        <w:br w:type="page"/>
      </w:r>
      <w:r>
        <w:rPr>
          <w:rFonts w:hAnsi="宋体"/>
          <w:b/>
          <w:w w:val="80"/>
          <w:kern w:val="44"/>
          <w:sz w:val="44"/>
          <w:szCs w:val="44"/>
        </w:rPr>
        <w:t>第</w:t>
      </w:r>
      <w:r>
        <w:rPr>
          <w:rFonts w:hint="eastAsia" w:hAnsi="宋体"/>
          <w:b/>
          <w:w w:val="80"/>
          <w:kern w:val="44"/>
          <w:sz w:val="44"/>
          <w:szCs w:val="44"/>
        </w:rPr>
        <w:t>六</w:t>
      </w:r>
      <w:r>
        <w:rPr>
          <w:rFonts w:hAnsi="宋体"/>
          <w:b/>
          <w:w w:val="80"/>
          <w:kern w:val="44"/>
          <w:sz w:val="44"/>
          <w:szCs w:val="44"/>
        </w:rPr>
        <w:t xml:space="preserve">章 </w:t>
      </w:r>
      <w:r>
        <w:rPr>
          <w:rFonts w:hint="eastAsia" w:hAnsi="宋体"/>
          <w:b/>
          <w:w w:val="80"/>
          <w:kern w:val="44"/>
          <w:sz w:val="44"/>
          <w:szCs w:val="44"/>
        </w:rPr>
        <w:t xml:space="preserve"> 质疑提出和处理</w:t>
      </w:r>
    </w:p>
    <w:p>
      <w:pPr>
        <w:snapToGrid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一、质疑的提出</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sz w:val="24"/>
          <w:szCs w:val="24"/>
        </w:rPr>
        <w:t>.</w:t>
      </w:r>
      <w:r>
        <w:rPr>
          <w:rFonts w:hint="eastAsia" w:ascii="宋体" w:hAnsi="宋体" w:cs="宋体"/>
          <w:kern w:val="0"/>
          <w:sz w:val="24"/>
          <w:szCs w:val="24"/>
        </w:rPr>
        <w:t>质疑必须是直接参加本次磋商活动的当事人。</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sz w:val="24"/>
          <w:szCs w:val="24"/>
        </w:rPr>
        <w:t>.</w:t>
      </w:r>
      <w:r>
        <w:rPr>
          <w:rFonts w:hint="eastAsia" w:ascii="宋体" w:hAnsi="宋体" w:cs="宋体"/>
          <w:kern w:val="0"/>
          <w:sz w:val="24"/>
          <w:szCs w:val="24"/>
        </w:rPr>
        <w:t>取得磋商文件的供应商应根据磋商文件第二章 “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sz w:val="24"/>
          <w:szCs w:val="24"/>
        </w:rPr>
        <w:t>.</w:t>
      </w:r>
      <w:r>
        <w:rPr>
          <w:rFonts w:hint="eastAsia" w:ascii="宋体" w:hAnsi="宋体" w:cs="宋体"/>
          <w:kern w:val="0"/>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的权限。</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w:t>
      </w:r>
      <w:r>
        <w:rPr>
          <w:rFonts w:hint="eastAsia" w:ascii="宋体" w:hAnsi="宋体" w:cs="宋体"/>
          <w:sz w:val="24"/>
          <w:szCs w:val="24"/>
        </w:rPr>
        <w:t>.</w:t>
      </w:r>
      <w:r>
        <w:rPr>
          <w:rFonts w:hint="eastAsia" w:ascii="宋体" w:hAnsi="宋体" w:cs="宋体"/>
          <w:kern w:val="0"/>
          <w:sz w:val="24"/>
          <w:szCs w:val="24"/>
        </w:rPr>
        <w:t>对本次磋商有质疑的，须实名制以书面形式提出，不得进行匿名、虚假、恶意质疑。</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质疑人应在质疑有效期内以书面形式提出《质疑函》（向代理公司索取），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对不能提供相关佐证材料的、涉及商业秘密的、非书面形式的、非送达的、匿名的《质疑函》作无效质疑处理，将不予受理。</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相关佐证材料要具备客观性、关联性、合法性，无法查实的（如宣传册、媒体报道、猜测、推理等）不能作为佐证材料。</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采购单位、采购单位不负责搜集相关佐证材料等工作。</w:t>
      </w:r>
    </w:p>
    <w:p>
      <w:pPr>
        <w:snapToGrid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二、《质疑函》的受理和回复</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sz w:val="24"/>
          <w:szCs w:val="24"/>
        </w:rPr>
        <w:t>.</w:t>
      </w:r>
      <w:r>
        <w:rPr>
          <w:rFonts w:hint="eastAsia" w:ascii="宋体" w:hAnsi="宋体" w:cs="宋体"/>
          <w:kern w:val="0"/>
          <w:sz w:val="24"/>
          <w:szCs w:val="24"/>
        </w:rPr>
        <w:t>《质疑函》须由质疑人的法定代表人或参加本次磋商授权委托人送达采购单位。</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sz w:val="24"/>
          <w:szCs w:val="24"/>
        </w:rPr>
        <w:t>.</w:t>
      </w:r>
      <w:r>
        <w:rPr>
          <w:rFonts w:hint="eastAsia" w:ascii="宋体" w:hAnsi="宋体" w:cs="宋体"/>
          <w:kern w:val="0"/>
          <w:sz w:val="24"/>
          <w:szCs w:val="24"/>
        </w:rPr>
        <w:t>对符合提出质疑要求的，采购单位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sz w:val="24"/>
          <w:szCs w:val="24"/>
        </w:rPr>
        <w:t>.</w:t>
      </w:r>
      <w:r>
        <w:rPr>
          <w:rFonts w:hint="eastAsia" w:ascii="宋体" w:hAnsi="宋体" w:cs="宋体"/>
          <w:kern w:val="0"/>
          <w:sz w:val="24"/>
          <w:szCs w:val="24"/>
        </w:rPr>
        <w:t>对不符合提出质疑要求的《质疑函》，出具《质疑退回通知书》并提出相关补充材料要求，质疑人未在规定时间内提供补充佐证材料的，视同放弃质疑。</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w:t>
      </w:r>
      <w:r>
        <w:rPr>
          <w:rFonts w:hint="eastAsia" w:ascii="宋体" w:hAnsi="宋体" w:cs="宋体"/>
          <w:sz w:val="24"/>
          <w:szCs w:val="24"/>
        </w:rPr>
        <w:t>.</w:t>
      </w:r>
      <w:r>
        <w:rPr>
          <w:rFonts w:hint="eastAsia" w:ascii="宋体" w:hAnsi="宋体" w:cs="宋体"/>
          <w:kern w:val="0"/>
          <w:sz w:val="24"/>
          <w:szCs w:val="24"/>
        </w:rPr>
        <w:t>采购单位负责将质疑人提交的质疑相关材料提供给相关专家或磋商小组审核，并将审核意见回复质疑人。</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5</w:t>
      </w:r>
      <w:r>
        <w:rPr>
          <w:rFonts w:hint="eastAsia" w:ascii="宋体" w:hAnsi="宋体" w:cs="宋体"/>
          <w:sz w:val="24"/>
          <w:szCs w:val="24"/>
        </w:rPr>
        <w:t>.</w:t>
      </w:r>
      <w:r>
        <w:rPr>
          <w:rFonts w:hint="eastAsia" w:ascii="宋体" w:hAnsi="宋体" w:cs="宋体"/>
          <w:kern w:val="0"/>
          <w:sz w:val="24"/>
          <w:szCs w:val="24"/>
        </w:rPr>
        <w:t>因质疑情况复杂，组织论证或审查时间较长的，采购单位以书面形式通知质疑人，可适当延长质疑回复处理时间。</w:t>
      </w:r>
    </w:p>
    <w:p>
      <w:pPr>
        <w:snapToGrid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三、质疑处理</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sz w:val="24"/>
          <w:szCs w:val="24"/>
        </w:rPr>
        <w:t>.</w:t>
      </w:r>
      <w:r>
        <w:rPr>
          <w:rFonts w:hint="eastAsia" w:ascii="宋体" w:hAnsi="宋体" w:cs="宋体"/>
          <w:kern w:val="0"/>
          <w:sz w:val="24"/>
          <w:szCs w:val="24"/>
        </w:rPr>
        <w:t>质疑成立的处理。采购单位终止采购，并建议有关部门给相关当事人予以处理。</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sz w:val="24"/>
          <w:szCs w:val="24"/>
        </w:rPr>
        <w:t>.</w:t>
      </w:r>
      <w:r>
        <w:rPr>
          <w:rFonts w:hint="eastAsia" w:ascii="宋体" w:hAnsi="宋体" w:cs="宋体"/>
          <w:kern w:val="0"/>
          <w:sz w:val="24"/>
          <w:szCs w:val="24"/>
        </w:rPr>
        <w:t>质疑不成立的处理：</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（1）质疑人书面《申请撤回质疑函》。</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（2）质疑人在规定的时间内不配合进行质疑调查处理的，按自动撤回《质疑函》处理。</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（3）质疑人不按《质疑函》格式就提出质疑的，视情列入不良供应商名单。</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质疑人不能提供相关佐证材料的，采购单位已指出，质疑人仍然坚持提出质疑的，质疑人虽提供了相关佐证材料，但不能证明其质疑成立的，采购单位请质疑人补充相关佐证材料，仍不能证明其质疑成立的，列入不良供应商名单。</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5）对明显有违背事实的、经相关专家或评委认定无依据的、经其他供应商举证无依据的质疑，列入不良供应商名单；同时，对其中每一项不成立的质疑给予质疑人1年内禁入本单位采购活动的处理，依次类推；视情在南通政府采购网、省、国家级相关媒体予以披露。</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（6）质疑人承担使用虚假材料或恶意方式质疑的法律责任。</w:t>
      </w:r>
    </w:p>
    <w:p>
      <w:pPr>
        <w:snapToGrid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四、无佐证材料的举报作违约处理</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供应商不得进行不提供相关佐证材料（含无法查实的如宣传册、媒体报道、猜测、推理等）而向有关部门的举报，否则对其在1至3年内禁入南通市政府采购活动。</w:t>
      </w:r>
    </w:p>
    <w:p>
      <w:pPr>
        <w:snapToGrid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五、投诉的提出</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质疑人对采购单位的答复不满意或者采购单位未在规定的时间内作出答复的，可以在答复期满后15个工作日内向采购位的上级主管部门投诉。</w:t>
      </w:r>
    </w:p>
    <w:p>
      <w:pPr>
        <w:snapToGrid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六、投诉不成立的作违约处理</w:t>
      </w:r>
    </w:p>
    <w:p>
      <w:pPr>
        <w:spacing w:line="360" w:lineRule="auto"/>
        <w:ind w:firstLine="484" w:firstLineChars="202"/>
        <w:rPr>
          <w:rFonts w:ascii="宋体" w:hAnsi="宋体" w:cs="宋体"/>
          <w:kern w:val="0"/>
          <w:sz w:val="24"/>
          <w:szCs w:val="24"/>
        </w:rPr>
      </w:pPr>
      <w:r>
        <w:rPr>
          <w:rFonts w:hint="eastAsia" w:ascii="宋体" w:hAnsi="宋体" w:cs="宋体"/>
          <w:kern w:val="0"/>
          <w:sz w:val="24"/>
          <w:szCs w:val="24"/>
        </w:rPr>
        <w:t>质疑人进行质疑后，采购单位回复质疑事项不成立仍进行投诉，但最终投诉不成立的，在1至3年内禁入采购单位政府采购购活。</w:t>
      </w:r>
    </w:p>
    <w:p>
      <w:pPr>
        <w:snapToGrid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七、质疑、举报、投诉不成立的等相关情况</w:t>
      </w:r>
    </w:p>
    <w:p>
      <w:pPr>
        <w:spacing w:line="360" w:lineRule="auto"/>
        <w:ind w:firstLine="484" w:firstLineChars="202"/>
        <w:rPr>
          <w:rFonts w:hAnsi="宋体"/>
          <w:bCs/>
          <w:sz w:val="24"/>
          <w:szCs w:val="24"/>
        </w:rPr>
      </w:pPr>
      <w:r>
        <w:rPr>
          <w:rFonts w:hint="eastAsia" w:ascii="宋体" w:hAnsi="宋体" w:cs="宋体"/>
          <w:kern w:val="0"/>
          <w:sz w:val="24"/>
          <w:szCs w:val="24"/>
        </w:rPr>
        <w:t>《质疑函》、《质疑回复函》，质疑、举报、投诉不成立的等相关情况，视情在市、省、国家级等相关媒体予以披露。并建议相关政府采购机构对该供应商同步实施1至3年内禁入。</w:t>
      </w:r>
    </w:p>
    <w:p>
      <w:pPr>
        <w:pStyle w:val="4"/>
        <w:keepNext w:val="0"/>
        <w:keepLines w:val="0"/>
        <w:adjustRightInd w:val="0"/>
        <w:snapToGrid w:val="0"/>
        <w:spacing w:before="0" w:after="0" w:line="360" w:lineRule="auto"/>
        <w:jc w:val="center"/>
        <w:textAlignment w:val="baseline"/>
        <w:rPr>
          <w:rFonts w:ascii="宋体" w:hAnsi="宋体" w:eastAsia="宋体"/>
          <w:w w:val="80"/>
          <w:szCs w:val="44"/>
        </w:rPr>
      </w:pPr>
      <w:r>
        <w:rPr>
          <w:rFonts w:ascii="宋体" w:hAnsi="宋体" w:eastAsia="宋体"/>
          <w:w w:val="80"/>
          <w:szCs w:val="44"/>
        </w:rPr>
        <w:br w:type="page"/>
      </w:r>
      <w:r>
        <w:rPr>
          <w:rFonts w:hint="eastAsia" w:ascii="宋体" w:hAnsi="宋体" w:eastAsia="宋体"/>
          <w:w w:val="80"/>
          <w:szCs w:val="44"/>
        </w:rPr>
        <w:t>第七章  响应文件组成及格式</w:t>
      </w:r>
    </w:p>
    <w:p>
      <w:pPr>
        <w:adjustRightInd w:val="0"/>
        <w:snapToGrid w:val="0"/>
        <w:spacing w:line="360" w:lineRule="auto"/>
        <w:ind w:firstLine="487" w:firstLineChars="202"/>
        <w:jc w:val="left"/>
        <w:rPr>
          <w:rFonts w:hAnsi="宋体" w:cs="宋体"/>
          <w:b/>
          <w:bCs/>
          <w:sz w:val="24"/>
          <w:szCs w:val="24"/>
        </w:rPr>
      </w:pPr>
      <w:r>
        <w:rPr>
          <w:rFonts w:hint="eastAsia" w:hAnsi="宋体" w:cs="宋体"/>
          <w:b/>
          <w:bCs/>
          <w:sz w:val="24"/>
          <w:szCs w:val="24"/>
        </w:rPr>
        <w:t xml:space="preserve">响应文件由资格审查文件、技术响应文件、商务报价响应文件、电子版U盘四部分组成。本次竞争性磋商采用资格后审方式，供应商须将资格审查文件作为响应文件组成部分，按磋商文件要求装订密封后一起递交。 </w:t>
      </w:r>
    </w:p>
    <w:p>
      <w:pPr>
        <w:adjustRightInd w:val="0"/>
        <w:snapToGrid w:val="0"/>
        <w:spacing w:line="360" w:lineRule="auto"/>
        <w:ind w:firstLine="487" w:firstLineChars="202"/>
        <w:jc w:val="left"/>
        <w:outlineLvl w:val="1"/>
        <w:rPr>
          <w:rFonts w:hAnsi="宋体" w:cs="宋体"/>
          <w:b/>
          <w:bCs/>
          <w:sz w:val="24"/>
          <w:szCs w:val="24"/>
        </w:rPr>
      </w:pPr>
      <w:r>
        <w:rPr>
          <w:rFonts w:hint="eastAsia" w:hAnsi="宋体" w:cs="宋体"/>
          <w:b/>
          <w:bCs/>
          <w:sz w:val="24"/>
          <w:szCs w:val="24"/>
        </w:rPr>
        <w:t>一、资格审查文件（单独密封）：</w:t>
      </w:r>
    </w:p>
    <w:p>
      <w:pPr>
        <w:spacing w:line="360" w:lineRule="auto"/>
        <w:ind w:firstLine="480" w:firstLineChars="200"/>
        <w:rPr>
          <w:rFonts w:hAnsi="宋体" w:cs="宋体"/>
          <w:sz w:val="24"/>
          <w:szCs w:val="24"/>
        </w:rPr>
      </w:pPr>
      <w:r>
        <w:rPr>
          <w:rFonts w:hint="eastAsia" w:ascii="宋体" w:hAnsi="宋体"/>
          <w:sz w:val="24"/>
          <w:szCs w:val="24"/>
        </w:rPr>
        <w:t>1.响应供应</w:t>
      </w:r>
      <w:r>
        <w:rPr>
          <w:rFonts w:hint="eastAsia" w:hAnsi="宋体" w:cs="宋体"/>
          <w:sz w:val="24"/>
          <w:szCs w:val="24"/>
        </w:rPr>
        <w:t>商提供有效的营业执照复印件。如为代理商（或经销商）投标的，另需提供其制造商的营业执照复印件（须加盖公章）。</w:t>
      </w:r>
    </w:p>
    <w:p>
      <w:pPr>
        <w:pStyle w:val="2"/>
        <w:spacing w:before="164"/>
        <w:ind w:firstLine="600"/>
      </w:pPr>
      <w:r>
        <w:rPr>
          <w:rFonts w:hint="eastAsia" w:ascii="宋体" w:hAnsi="宋体"/>
        </w:rPr>
        <w:t>2.响应供应商如为制造商投标的，需提供省级及以上计量科学研究院出具的检定/校准证书原件的复印件；响应供应商为</w:t>
      </w:r>
      <w:r>
        <w:rPr>
          <w:rFonts w:hint="eastAsia" w:hAnsi="宋体" w:cs="宋体"/>
        </w:rPr>
        <w:t>代理商（或经销商）</w:t>
      </w:r>
      <w:r>
        <w:rPr>
          <w:rFonts w:hint="eastAsia" w:ascii="宋体" w:hAnsi="宋体"/>
        </w:rPr>
        <w:t>投标的，如中标，需在中标后7日内提供其制造商的授权书原件的复印件（须加盖公章）及其制造商的省级及以上计量科学研究院出具的检定/校准证书原件的复印件（须加盖公章）</w:t>
      </w:r>
    </w:p>
    <w:p>
      <w:pPr>
        <w:spacing w:line="360" w:lineRule="auto"/>
        <w:rPr>
          <w:rFonts w:hAnsi="宋体"/>
          <w:sz w:val="24"/>
          <w:szCs w:val="24"/>
        </w:rPr>
      </w:pPr>
      <w:r>
        <w:rPr>
          <w:rFonts w:hint="eastAsia" w:hAnsi="宋体" w:cs="宋体"/>
          <w:sz w:val="24"/>
          <w:szCs w:val="24"/>
        </w:rPr>
        <w:t>　　</w:t>
      </w:r>
      <w:r>
        <w:rPr>
          <w:rFonts w:hint="eastAsia" w:ascii="宋体" w:hAnsi="宋体" w:cs="宋体"/>
          <w:sz w:val="24"/>
          <w:szCs w:val="24"/>
        </w:rPr>
        <w:t>3.</w:t>
      </w:r>
      <w:r>
        <w:rPr>
          <w:rFonts w:hint="eastAsia" w:hAnsi="宋体" w:cs="宋体"/>
          <w:sz w:val="24"/>
          <w:szCs w:val="24"/>
        </w:rPr>
        <w:t>磋商响应供应商法定代表人参加磋商的，必须提供法定代表人身份证明及法定代表人本人身份证复印件；非法定代表人参加磋商的，必须提供法定代表人签字或盖章的授权委托书及法定代表人、被授权人的两人身份证的复印件。</w:t>
      </w:r>
    </w:p>
    <w:p>
      <w:pPr>
        <w:spacing w:line="360" w:lineRule="auto"/>
        <w:ind w:firstLine="480" w:firstLineChars="200"/>
        <w:rPr>
          <w:rFonts w:hAnsi="宋体"/>
          <w:sz w:val="24"/>
          <w:szCs w:val="24"/>
        </w:rPr>
      </w:pPr>
      <w:r>
        <w:rPr>
          <w:rFonts w:hint="eastAsia" w:ascii="宋体" w:hAnsi="宋体" w:cs="宋体"/>
          <w:sz w:val="24"/>
          <w:szCs w:val="24"/>
        </w:rPr>
        <w:t>4.磋</w:t>
      </w:r>
      <w:r>
        <w:rPr>
          <w:rFonts w:hint="eastAsia" w:hAnsi="宋体"/>
          <w:sz w:val="24"/>
          <w:szCs w:val="24"/>
        </w:rPr>
        <w:t>商响应供应商须提供参与本次项目政府采购活动前三年内，在经营活动中没有重大违法记录的书面《无重大违法记录声明函》（格式参见第七章）</w:t>
      </w:r>
      <w:r>
        <w:rPr>
          <w:rFonts w:hint="eastAsia" w:ascii="宋体" w:hAnsi="宋体" w:cs="宋体"/>
          <w:sz w:val="24"/>
          <w:szCs w:val="24"/>
        </w:rPr>
        <w:t>。</w:t>
      </w:r>
    </w:p>
    <w:p>
      <w:pPr>
        <w:spacing w:line="360" w:lineRule="auto"/>
        <w:ind w:firstLine="480" w:firstLineChars="200"/>
        <w:rPr>
          <w:rFonts w:hAnsi="宋体"/>
          <w:sz w:val="24"/>
        </w:rPr>
      </w:pPr>
      <w:r>
        <w:rPr>
          <w:rFonts w:hint="eastAsia" w:hAnsi="宋体"/>
          <w:sz w:val="24"/>
          <w:szCs w:val="24"/>
        </w:rPr>
        <w:t>5</w:t>
      </w:r>
      <w:r>
        <w:rPr>
          <w:rFonts w:hint="eastAsia" w:ascii="宋体" w:hAnsi="宋体" w:cs="宋体"/>
          <w:sz w:val="24"/>
          <w:szCs w:val="24"/>
        </w:rPr>
        <w:t>.</w:t>
      </w:r>
      <w:r>
        <w:rPr>
          <w:rFonts w:hint="eastAsia" w:hAnsi="宋体"/>
          <w:sz w:val="24"/>
        </w:rPr>
        <w:t>磋商响应供应商须提供《企业履约情况证明及无不良记录承诺书》（格式参见磋商文件第七章）。</w:t>
      </w:r>
    </w:p>
    <w:p>
      <w:pPr>
        <w:pStyle w:val="2"/>
        <w:spacing w:before="164"/>
        <w:ind w:firstLine="600"/>
      </w:pPr>
      <w:r>
        <w:rPr>
          <w:rFonts w:hint="eastAsia"/>
        </w:rPr>
        <w:t>6、</w:t>
      </w:r>
      <w:r>
        <w:rPr>
          <w:rFonts w:hint="eastAsia" w:ascii="宋体" w:hAnsi="宋体"/>
        </w:rPr>
        <w:t>承诺函</w:t>
      </w:r>
      <w:r>
        <w:rPr>
          <w:rFonts w:hint="eastAsia" w:ascii="宋体" w:hAnsi="宋体" w:cs="宋体"/>
          <w:bCs/>
        </w:rPr>
        <w:t>（格式参见第七章）</w:t>
      </w:r>
    </w:p>
    <w:p>
      <w:pPr>
        <w:adjustRightInd w:val="0"/>
        <w:snapToGrid w:val="0"/>
        <w:spacing w:line="360" w:lineRule="auto"/>
        <w:ind w:firstLine="482" w:firstLineChars="200"/>
        <w:jc w:val="left"/>
        <w:rPr>
          <w:rFonts w:hAnsi="宋体"/>
          <w:b/>
          <w:sz w:val="24"/>
          <w:szCs w:val="24"/>
        </w:rPr>
      </w:pPr>
      <w:r>
        <w:rPr>
          <w:rFonts w:hint="eastAsia" w:hAnsi="宋体"/>
          <w:b/>
          <w:sz w:val="24"/>
          <w:szCs w:val="24"/>
        </w:rPr>
        <w:t>以上材料复印件均需加盖磋商响应供应商的公章。</w:t>
      </w:r>
    </w:p>
    <w:p>
      <w:pPr>
        <w:spacing w:line="360" w:lineRule="auto"/>
        <w:ind w:firstLine="482" w:firstLineChars="200"/>
        <w:rPr>
          <w:rFonts w:hAnsi="宋体"/>
          <w:b/>
          <w:bCs/>
          <w:sz w:val="24"/>
          <w:szCs w:val="24"/>
        </w:rPr>
      </w:pPr>
      <w:r>
        <w:rPr>
          <w:rFonts w:hint="eastAsia" w:hAnsi="宋体"/>
          <w:b/>
          <w:bCs/>
          <w:sz w:val="24"/>
          <w:szCs w:val="24"/>
        </w:rPr>
        <w:t>二、技术响应文件（单独密封）：</w:t>
      </w:r>
    </w:p>
    <w:p>
      <w:pPr>
        <w:spacing w:line="360" w:lineRule="auto"/>
        <w:ind w:firstLine="484" w:firstLineChars="202"/>
        <w:rPr>
          <w:rFonts w:ascii="宋体" w:hAnsi="宋体"/>
          <w:sz w:val="24"/>
          <w:szCs w:val="24"/>
        </w:rPr>
      </w:pPr>
      <w:r>
        <w:rPr>
          <w:rFonts w:hint="eastAsia" w:ascii="宋体" w:hAnsi="宋体"/>
          <w:sz w:val="24"/>
          <w:szCs w:val="24"/>
        </w:rPr>
        <w:t>技术响应文件的内容，不得有缺陷或漏项。否则有可能被视为未实质性响应磋商文件要求而作无效磋商处理，或可能直接影响技术磋商评审的得分。同时，供应商应根据本磋商文件第三章“项目需求”提供的主要技术规范，配置要求和货物产品标准等，</w:t>
      </w:r>
      <w:r>
        <w:rPr>
          <w:rFonts w:hint="eastAsia" w:ascii="宋体" w:hAnsi="宋体"/>
          <w:sz w:val="24"/>
          <w:szCs w:val="24"/>
          <w:u w:val="thick" w:color="FF0000"/>
        </w:rPr>
        <w:t>仔细阅读</w:t>
      </w:r>
      <w:r>
        <w:rPr>
          <w:rFonts w:hint="eastAsia" w:ascii="宋体" w:hAnsi="宋体"/>
          <w:sz w:val="24"/>
          <w:szCs w:val="24"/>
        </w:rPr>
        <w:t>并在踏勘现场获得的直接资料与</w:t>
      </w:r>
      <w:r>
        <w:rPr>
          <w:rFonts w:hint="eastAsia" w:ascii="宋体" w:hAnsi="宋体"/>
          <w:sz w:val="24"/>
          <w:szCs w:val="24"/>
          <w:u w:val="thick" w:color="FF0000"/>
        </w:rPr>
        <w:t>理解的基础上结合第四章评审方法内的评审细则</w:t>
      </w:r>
      <w:r>
        <w:rPr>
          <w:rFonts w:hint="eastAsia" w:ascii="宋体" w:hAnsi="宋体"/>
          <w:sz w:val="24"/>
          <w:szCs w:val="24"/>
        </w:rPr>
        <w:t>，编写编制技术响应文件。技术磋商响应文件内涉及到的证明材料的原件须密封放置在“磋商响应资料原件包”内，以便磋商评审时核查。</w:t>
      </w:r>
    </w:p>
    <w:p>
      <w:pPr>
        <w:spacing w:line="360" w:lineRule="auto"/>
        <w:ind w:firstLine="480" w:firstLineChars="200"/>
        <w:rPr>
          <w:rFonts w:ascii="宋体" w:hAnsi="宋体"/>
          <w:sz w:val="24"/>
          <w:szCs w:val="24"/>
        </w:rPr>
      </w:pPr>
      <w:r>
        <w:rPr>
          <w:rFonts w:hint="eastAsia" w:ascii="宋体" w:hAnsi="宋体"/>
          <w:sz w:val="24"/>
          <w:szCs w:val="24"/>
        </w:rPr>
        <w:t>1.竞争性磋商响应函</w:t>
      </w:r>
    </w:p>
    <w:p>
      <w:pPr>
        <w:spacing w:line="360" w:lineRule="auto"/>
        <w:ind w:firstLine="480" w:firstLineChars="200"/>
        <w:rPr>
          <w:rFonts w:ascii="宋体" w:hAnsi="宋体"/>
          <w:sz w:val="24"/>
          <w:szCs w:val="24"/>
        </w:rPr>
      </w:pPr>
      <w:r>
        <w:rPr>
          <w:rFonts w:hint="eastAsia" w:ascii="宋体" w:hAnsi="宋体"/>
          <w:sz w:val="24"/>
          <w:szCs w:val="24"/>
        </w:rPr>
        <w:t>2.根据第四章综合评分评审因素中得分点的要求提供的材料</w:t>
      </w:r>
    </w:p>
    <w:p>
      <w:pPr>
        <w:spacing w:line="360" w:lineRule="auto"/>
        <w:ind w:firstLine="480" w:firstLineChars="200"/>
        <w:rPr>
          <w:rFonts w:ascii="宋体" w:hAnsi="宋体"/>
          <w:sz w:val="24"/>
          <w:szCs w:val="24"/>
        </w:rPr>
      </w:pPr>
      <w:r>
        <w:rPr>
          <w:rFonts w:hint="eastAsia" w:ascii="宋体" w:hAnsi="宋体"/>
          <w:sz w:val="24"/>
          <w:szCs w:val="24"/>
        </w:rPr>
        <w:t>3.根据第四章综合评分评审因素中得分点的要求提供的其它材料。</w:t>
      </w:r>
    </w:p>
    <w:p>
      <w:pPr>
        <w:adjustRightInd w:val="0"/>
        <w:snapToGrid w:val="0"/>
        <w:spacing w:line="360" w:lineRule="auto"/>
        <w:ind w:firstLine="482" w:firstLineChars="200"/>
        <w:jc w:val="left"/>
        <w:rPr>
          <w:rFonts w:hAnsi="宋体" w:cs="宋体"/>
          <w:b/>
          <w:bCs/>
          <w:sz w:val="24"/>
          <w:szCs w:val="24"/>
        </w:rPr>
      </w:pPr>
      <w:r>
        <w:rPr>
          <w:rFonts w:hint="eastAsia" w:hAnsi="宋体" w:cs="宋体"/>
          <w:b/>
          <w:bCs/>
          <w:sz w:val="24"/>
          <w:szCs w:val="24"/>
        </w:rPr>
        <w:t>三、商务报价响应文件（单独密封）</w:t>
      </w:r>
    </w:p>
    <w:p>
      <w:pPr>
        <w:spacing w:line="360" w:lineRule="auto"/>
        <w:ind w:firstLine="480" w:firstLineChars="200"/>
        <w:rPr>
          <w:rFonts w:hAnsi="宋体" w:cs="宋体"/>
          <w:sz w:val="24"/>
          <w:szCs w:val="24"/>
        </w:rPr>
      </w:pPr>
      <w:r>
        <w:rPr>
          <w:rFonts w:hint="eastAsia" w:hAnsi="宋体" w:cs="宋体"/>
          <w:sz w:val="24"/>
          <w:szCs w:val="24"/>
        </w:rPr>
        <w:t>1</w:t>
      </w:r>
      <w:r>
        <w:rPr>
          <w:rFonts w:hint="eastAsia" w:ascii="宋体" w:hAnsi="宋体" w:cs="宋体"/>
          <w:sz w:val="24"/>
          <w:szCs w:val="24"/>
        </w:rPr>
        <w:t>.</w:t>
      </w:r>
      <w:r>
        <w:rPr>
          <w:rFonts w:hint="eastAsia" w:ascii="宋体" w:hAnsi="宋体"/>
          <w:sz w:val="24"/>
          <w:szCs w:val="24"/>
        </w:rPr>
        <w:t>磋商响应报价（首次）总表</w:t>
      </w:r>
      <w:r>
        <w:rPr>
          <w:rFonts w:hint="eastAsia" w:hAnsi="宋体" w:cs="宋体"/>
          <w:sz w:val="24"/>
          <w:szCs w:val="24"/>
        </w:rPr>
        <w:t>（格式参见附件）；</w:t>
      </w:r>
    </w:p>
    <w:p>
      <w:pPr>
        <w:widowControl/>
        <w:spacing w:line="360" w:lineRule="auto"/>
        <w:ind w:firstLine="480"/>
        <w:jc w:val="left"/>
        <w:rPr>
          <w:rFonts w:hAnsi="宋体" w:cs="宋体"/>
          <w:sz w:val="24"/>
          <w:szCs w:val="24"/>
        </w:rPr>
      </w:pPr>
      <w:r>
        <w:rPr>
          <w:rFonts w:hint="eastAsia" w:hAnsi="宋体" w:cs="宋体"/>
          <w:sz w:val="24"/>
          <w:szCs w:val="24"/>
        </w:rPr>
        <w:t>2</w:t>
      </w:r>
      <w:r>
        <w:rPr>
          <w:rFonts w:hint="eastAsia" w:ascii="宋体" w:hAnsi="宋体" w:cs="宋体"/>
          <w:sz w:val="24"/>
          <w:szCs w:val="24"/>
        </w:rPr>
        <w:t>.</w:t>
      </w:r>
      <w:r>
        <w:rPr>
          <w:rFonts w:hint="eastAsia" w:ascii="宋体" w:hAnsi="宋体"/>
          <w:sz w:val="24"/>
          <w:szCs w:val="24"/>
        </w:rPr>
        <w:t>磋商响应报价明细表。</w:t>
      </w:r>
      <w:r>
        <w:rPr>
          <w:rFonts w:hint="eastAsia" w:hAnsi="宋体" w:cs="宋体"/>
          <w:sz w:val="24"/>
          <w:szCs w:val="24"/>
        </w:rPr>
        <w:t>（格式参见附件）；</w:t>
      </w:r>
    </w:p>
    <w:p>
      <w:pPr>
        <w:pStyle w:val="20"/>
        <w:ind w:firstLine="420"/>
        <w:rPr>
          <w:b/>
          <w:bCs/>
        </w:rPr>
      </w:pPr>
      <w:r>
        <w:rPr>
          <w:rFonts w:cs="宋体"/>
        </w:rPr>
        <w:br w:type="page"/>
      </w:r>
      <w:r>
        <w:rPr>
          <w:rFonts w:hint="eastAsia"/>
          <w:b/>
          <w:bCs/>
        </w:rPr>
        <w:t>附件:</w:t>
      </w:r>
    </w:p>
    <w:p>
      <w:pPr>
        <w:snapToGrid w:val="0"/>
        <w:spacing w:line="360" w:lineRule="auto"/>
        <w:jc w:val="center"/>
        <w:outlineLvl w:val="4"/>
        <w:rPr>
          <w:rFonts w:hAnsi="宋体" w:cs="宋体"/>
          <w:b/>
          <w:bCs/>
          <w:sz w:val="24"/>
          <w:szCs w:val="24"/>
        </w:rPr>
      </w:pPr>
      <w:r>
        <w:rPr>
          <w:rFonts w:hint="eastAsia" w:hAnsi="宋体" w:cs="宋体"/>
          <w:b/>
          <w:bCs/>
          <w:sz w:val="24"/>
          <w:szCs w:val="24"/>
        </w:rPr>
        <w:t>1</w:t>
      </w:r>
      <w:r>
        <w:rPr>
          <w:rFonts w:hint="eastAsia" w:ascii="宋体" w:hAnsi="宋体" w:cs="宋体"/>
          <w:sz w:val="24"/>
          <w:szCs w:val="24"/>
        </w:rPr>
        <w:t>.</w:t>
      </w:r>
      <w:r>
        <w:rPr>
          <w:rFonts w:hint="eastAsia" w:hAnsi="宋体" w:cs="宋体"/>
          <w:b/>
          <w:bCs/>
          <w:sz w:val="24"/>
          <w:szCs w:val="24"/>
        </w:rPr>
        <w:t>法定代表人身份证明</w:t>
      </w:r>
    </w:p>
    <w:p>
      <w:pPr>
        <w:snapToGrid w:val="0"/>
        <w:spacing w:line="360" w:lineRule="auto"/>
        <w:jc w:val="center"/>
        <w:rPr>
          <w:rFonts w:hAnsi="宋体" w:cs="宋体"/>
          <w:sz w:val="24"/>
          <w:szCs w:val="24"/>
        </w:rPr>
      </w:pPr>
      <w:r>
        <w:rPr>
          <w:rFonts w:hint="eastAsia" w:hAnsi="宋体" w:cs="宋体"/>
          <w:sz w:val="24"/>
          <w:szCs w:val="24"/>
        </w:rPr>
        <w:t>（法定代表人参加磋商，须出示此证明）</w:t>
      </w:r>
    </w:p>
    <w:p>
      <w:pPr>
        <w:snapToGrid w:val="0"/>
        <w:spacing w:line="360" w:lineRule="auto"/>
        <w:jc w:val="center"/>
        <w:rPr>
          <w:rFonts w:hAnsi="宋体" w:cs="宋体"/>
          <w:sz w:val="24"/>
          <w:szCs w:val="24"/>
        </w:rPr>
      </w:pPr>
    </w:p>
    <w:p>
      <w:pPr>
        <w:snapToGrid w:val="0"/>
        <w:spacing w:line="360" w:lineRule="auto"/>
        <w:rPr>
          <w:rFonts w:hAnsi="宋体" w:cs="宋体"/>
          <w:sz w:val="24"/>
          <w:szCs w:val="24"/>
        </w:rPr>
      </w:pPr>
      <w:r>
        <w:rPr>
          <w:rFonts w:hint="eastAsia" w:hAnsi="宋体" w:cs="宋体"/>
          <w:sz w:val="24"/>
          <w:szCs w:val="24"/>
          <w:u w:val="single"/>
        </w:rPr>
        <w:t>南通市计量检定测试所</w:t>
      </w:r>
      <w:r>
        <w:rPr>
          <w:rFonts w:hint="eastAsia" w:hAnsi="宋体" w:cs="宋体"/>
          <w:sz w:val="24"/>
          <w:szCs w:val="24"/>
        </w:rPr>
        <w:t>：</w:t>
      </w:r>
    </w:p>
    <w:p>
      <w:pPr>
        <w:snapToGrid w:val="0"/>
        <w:spacing w:line="360" w:lineRule="auto"/>
        <w:ind w:firstLine="480" w:firstLineChars="200"/>
        <w:rPr>
          <w:rFonts w:hAnsi="宋体" w:cs="宋体"/>
          <w:sz w:val="24"/>
          <w:szCs w:val="24"/>
        </w:rPr>
      </w:pPr>
      <w:r>
        <w:rPr>
          <w:rFonts w:hint="eastAsia" w:hAnsi="宋体" w:cs="宋体"/>
          <w:sz w:val="24"/>
          <w:szCs w:val="24"/>
        </w:rPr>
        <w:t>我公司法定代表人</w:t>
      </w:r>
      <w:r>
        <w:rPr>
          <w:rFonts w:hint="eastAsia" w:hAnsi="宋体" w:cs="宋体"/>
          <w:sz w:val="24"/>
          <w:szCs w:val="24"/>
          <w:u w:val="single"/>
        </w:rPr>
        <w:t xml:space="preserve">     　　　   </w:t>
      </w:r>
      <w:r>
        <w:rPr>
          <w:rFonts w:hint="eastAsia" w:hAnsi="宋体" w:cs="宋体"/>
          <w:sz w:val="24"/>
          <w:szCs w:val="24"/>
        </w:rPr>
        <w:t>参加贵单位组织的（竞争性磋商项目名称)项目的磋商活动，全权代表我公司处理该磋商活动的有关事宜。</w:t>
      </w:r>
    </w:p>
    <w:p>
      <w:pPr>
        <w:snapToGrid w:val="0"/>
        <w:spacing w:line="360" w:lineRule="auto"/>
        <w:rPr>
          <w:rFonts w:hAnsi="宋体" w:cs="宋体"/>
          <w:sz w:val="24"/>
          <w:szCs w:val="24"/>
        </w:rPr>
      </w:pPr>
    </w:p>
    <w:p>
      <w:pPr>
        <w:snapToGrid w:val="0"/>
        <w:spacing w:line="360" w:lineRule="auto"/>
        <w:rPr>
          <w:rFonts w:hAnsi="宋体" w:cs="宋体"/>
          <w:sz w:val="24"/>
          <w:szCs w:val="24"/>
        </w:rPr>
      </w:pPr>
      <w:r>
        <w:rPr>
          <w:rFonts w:hint="eastAsia" w:hAnsi="宋体" w:cs="宋体"/>
          <w:sz w:val="24"/>
          <w:szCs w:val="24"/>
        </w:rPr>
        <w:t>附：法定代表人情况：</w:t>
      </w:r>
    </w:p>
    <w:p>
      <w:pPr>
        <w:snapToGrid w:val="0"/>
        <w:spacing w:line="360" w:lineRule="auto"/>
        <w:rPr>
          <w:rFonts w:hAnsi="宋体" w:cs="宋体"/>
          <w:sz w:val="24"/>
          <w:szCs w:val="24"/>
          <w:u w:val="single"/>
        </w:rPr>
      </w:pPr>
      <w:r>
        <w:rPr>
          <w:rFonts w:hint="eastAsia" w:hAnsi="宋体" w:cs="宋体"/>
          <w:sz w:val="24"/>
          <w:szCs w:val="24"/>
        </w:rPr>
        <w:t>姓名：性别：年龄：职务：</w:t>
      </w:r>
    </w:p>
    <w:p>
      <w:pPr>
        <w:snapToGrid w:val="0"/>
        <w:spacing w:line="360" w:lineRule="auto"/>
        <w:rPr>
          <w:rFonts w:hAnsi="宋体" w:cs="宋体"/>
          <w:sz w:val="24"/>
          <w:szCs w:val="24"/>
        </w:rPr>
      </w:pPr>
      <w:r>
        <w:rPr>
          <w:rFonts w:hint="eastAsia" w:hAnsi="宋体" w:cs="宋体"/>
          <w:sz w:val="24"/>
          <w:szCs w:val="24"/>
        </w:rPr>
        <w:t>身份证号码：</w:t>
      </w:r>
    </w:p>
    <w:p>
      <w:pPr>
        <w:snapToGrid w:val="0"/>
        <w:spacing w:line="360" w:lineRule="auto"/>
        <w:rPr>
          <w:rFonts w:hAnsi="宋体" w:cs="宋体"/>
          <w:sz w:val="24"/>
          <w:szCs w:val="24"/>
        </w:rPr>
      </w:pPr>
      <w:r>
        <w:rPr>
          <w:rFonts w:hint="eastAsia" w:hAnsi="宋体" w:cs="宋体"/>
          <w:sz w:val="24"/>
          <w:szCs w:val="24"/>
        </w:rPr>
        <w:t>手机：传真：</w:t>
      </w:r>
    </w:p>
    <w:p>
      <w:pPr>
        <w:snapToGrid w:val="0"/>
        <w:spacing w:line="360" w:lineRule="auto"/>
        <w:rPr>
          <w:rFonts w:hAnsi="宋体" w:cs="宋体"/>
          <w:sz w:val="24"/>
          <w:szCs w:val="24"/>
        </w:rPr>
      </w:pPr>
      <w:r>
        <w:rPr>
          <w:rFonts w:hint="eastAsia" w:hAnsi="宋体" w:cs="宋体"/>
          <w:sz w:val="24"/>
          <w:szCs w:val="24"/>
        </w:rPr>
        <w:t> </w:t>
      </w:r>
    </w:p>
    <w:p>
      <w:pPr>
        <w:snapToGrid w:val="0"/>
        <w:spacing w:line="360" w:lineRule="auto"/>
        <w:rPr>
          <w:rFonts w:hAnsi="宋体" w:cs="宋体"/>
          <w:sz w:val="24"/>
          <w:szCs w:val="24"/>
        </w:rPr>
      </w:pPr>
    </w:p>
    <w:p>
      <w:pPr>
        <w:snapToGrid w:val="0"/>
        <w:spacing w:line="360" w:lineRule="auto"/>
        <w:rPr>
          <w:rFonts w:hAnsi="宋体" w:cs="宋体"/>
          <w:sz w:val="24"/>
          <w:szCs w:val="24"/>
        </w:rPr>
      </w:pPr>
      <w:r>
        <w:rPr>
          <w:rFonts w:hint="eastAsia" w:hAnsi="宋体" w:cs="宋体"/>
          <w:sz w:val="24"/>
          <w:szCs w:val="24"/>
        </w:rPr>
        <w:t>单位名称（公章）             法定代表人（签字或盖章）</w:t>
      </w:r>
    </w:p>
    <w:p>
      <w:pPr>
        <w:snapToGrid w:val="0"/>
        <w:spacing w:line="360" w:lineRule="auto"/>
        <w:ind w:firstLine="1200" w:firstLineChars="500"/>
        <w:rPr>
          <w:rFonts w:hAnsi="宋体" w:cs="宋体"/>
          <w:sz w:val="24"/>
          <w:szCs w:val="24"/>
        </w:rPr>
      </w:pPr>
      <w:r>
        <w:rPr>
          <w:rFonts w:hint="eastAsia" w:hAnsi="宋体" w:cs="宋体"/>
          <w:sz w:val="24"/>
          <w:szCs w:val="24"/>
        </w:rPr>
        <w:t xml:space="preserve">年   月   日                 年   月    日  </w:t>
      </w:r>
    </w:p>
    <w:p>
      <w:pPr>
        <w:snapToGrid w:val="0"/>
        <w:spacing w:line="360" w:lineRule="auto"/>
        <w:rPr>
          <w:rFonts w:hAnsi="宋体" w:cs="宋体"/>
          <w:sz w:val="24"/>
          <w:szCs w:val="24"/>
        </w:rPr>
      </w:pPr>
    </w:p>
    <w:p>
      <w:pPr>
        <w:snapToGrid w:val="0"/>
        <w:spacing w:line="360" w:lineRule="auto"/>
        <w:rPr>
          <w:rFonts w:hAnsi="宋体" w:cs="宋体"/>
          <w:sz w:val="24"/>
          <w:szCs w:val="24"/>
        </w:rPr>
      </w:pPr>
      <w:r>
        <w:rPr>
          <w:rFonts w:hint="eastAsia" w:hAnsi="宋体" w:cs="宋体"/>
          <w:sz w:val="24"/>
          <w:szCs w:val="24"/>
        </w:rPr>
        <w:t>法定代表人身份证复印件</w:t>
      </w:r>
    </w:p>
    <w:p>
      <w:pPr>
        <w:snapToGrid w:val="0"/>
        <w:spacing w:line="360" w:lineRule="auto"/>
        <w:rPr>
          <w:rFonts w:hAnsi="宋体" w:cs="宋体"/>
          <w:sz w:val="24"/>
          <w:szCs w:val="24"/>
        </w:rPr>
      </w:pPr>
    </w:p>
    <w:p>
      <w:pPr>
        <w:snapToGrid w:val="0"/>
        <w:spacing w:line="360" w:lineRule="auto"/>
        <w:rPr>
          <w:rFonts w:hAnsi="宋体" w:cs="宋体"/>
          <w:sz w:val="24"/>
          <w:szCs w:val="24"/>
        </w:rPr>
      </w:pPr>
    </w:p>
    <w:p>
      <w:pPr>
        <w:snapToGrid w:val="0"/>
        <w:spacing w:line="360" w:lineRule="auto"/>
        <w:ind w:firstLine="2280" w:firstLineChars="950"/>
        <w:rPr>
          <w:rFonts w:hAnsi="宋体" w:cs="宋体"/>
          <w:sz w:val="24"/>
          <w:szCs w:val="24"/>
        </w:rPr>
      </w:pPr>
      <w:r>
        <w:rPr>
          <w:rFonts w:hint="eastAsia" w:hAnsi="宋体" w:cs="宋体"/>
          <w:sz w:val="24"/>
          <w:szCs w:val="24"/>
        </w:rPr>
        <w:t>（粘贴此处）</w:t>
      </w:r>
    </w:p>
    <w:p>
      <w:pPr>
        <w:snapToGrid w:val="0"/>
        <w:spacing w:line="360" w:lineRule="auto"/>
        <w:ind w:firstLine="482" w:firstLineChars="200"/>
        <w:rPr>
          <w:rFonts w:hAnsi="宋体" w:cs="宋体"/>
          <w:b/>
          <w:bCs/>
          <w:sz w:val="24"/>
          <w:szCs w:val="24"/>
        </w:rPr>
      </w:pPr>
      <w:r>
        <w:rPr>
          <w:rFonts w:hint="eastAsia" w:hAnsi="宋体" w:cs="宋体"/>
          <w:b/>
          <w:bCs/>
          <w:sz w:val="24"/>
          <w:szCs w:val="24"/>
        </w:rPr>
        <w:t>注:参加磋商活动时法定代表人将身份证原件带至开标现场备查。</w:t>
      </w:r>
    </w:p>
    <w:p>
      <w:pPr>
        <w:snapToGrid w:val="0"/>
        <w:spacing w:line="360" w:lineRule="auto"/>
        <w:jc w:val="center"/>
        <w:outlineLvl w:val="4"/>
        <w:rPr>
          <w:rFonts w:hAnsi="宋体" w:cs="宋体"/>
          <w:b/>
          <w:bCs/>
          <w:sz w:val="24"/>
          <w:szCs w:val="24"/>
        </w:rPr>
      </w:pPr>
      <w:r>
        <w:rPr>
          <w:rFonts w:hint="eastAsia" w:hAnsi="宋体" w:cs="宋体"/>
          <w:b/>
          <w:bCs/>
          <w:sz w:val="24"/>
          <w:szCs w:val="24"/>
        </w:rPr>
        <w:br w:type="page"/>
      </w:r>
      <w:r>
        <w:rPr>
          <w:rFonts w:hint="eastAsia" w:hAnsi="宋体" w:cs="宋体"/>
          <w:b/>
          <w:bCs/>
          <w:sz w:val="24"/>
          <w:szCs w:val="24"/>
        </w:rPr>
        <w:t>2</w:t>
      </w:r>
      <w:r>
        <w:rPr>
          <w:rFonts w:hint="eastAsia" w:ascii="宋体" w:hAnsi="宋体" w:cs="宋体"/>
          <w:sz w:val="24"/>
          <w:szCs w:val="24"/>
        </w:rPr>
        <w:t>.</w:t>
      </w:r>
      <w:r>
        <w:rPr>
          <w:rFonts w:hint="eastAsia" w:hAnsi="宋体" w:cs="宋体"/>
          <w:b/>
          <w:bCs/>
          <w:sz w:val="24"/>
          <w:szCs w:val="24"/>
        </w:rPr>
        <w:t>授权委托书</w:t>
      </w:r>
    </w:p>
    <w:p>
      <w:pPr>
        <w:snapToGrid w:val="0"/>
        <w:spacing w:line="360" w:lineRule="auto"/>
        <w:jc w:val="center"/>
        <w:rPr>
          <w:rFonts w:hAnsi="宋体" w:cs="宋体"/>
          <w:sz w:val="24"/>
          <w:szCs w:val="24"/>
        </w:rPr>
      </w:pPr>
      <w:r>
        <w:rPr>
          <w:rFonts w:hint="eastAsia" w:hAnsi="宋体" w:cs="宋体"/>
          <w:sz w:val="24"/>
          <w:szCs w:val="24"/>
        </w:rPr>
        <w:t>（委托代理人参加磋商，须出示此证明）</w:t>
      </w:r>
    </w:p>
    <w:p>
      <w:pPr>
        <w:snapToGrid w:val="0"/>
        <w:spacing w:line="360" w:lineRule="auto"/>
        <w:rPr>
          <w:rFonts w:hAnsi="宋体" w:cs="宋体"/>
          <w:bCs/>
          <w:sz w:val="24"/>
          <w:szCs w:val="24"/>
        </w:rPr>
      </w:pPr>
      <w:r>
        <w:rPr>
          <w:rFonts w:hint="eastAsia" w:hAnsi="宋体" w:cs="宋体"/>
          <w:sz w:val="24"/>
          <w:szCs w:val="24"/>
          <w:u w:val="single"/>
        </w:rPr>
        <w:t>南通市计量检定测试所</w:t>
      </w:r>
      <w:r>
        <w:rPr>
          <w:rFonts w:hint="eastAsia" w:hAnsi="宋体" w:cs="宋体"/>
          <w:sz w:val="24"/>
          <w:szCs w:val="24"/>
        </w:rPr>
        <w:t>：</w:t>
      </w:r>
    </w:p>
    <w:p>
      <w:pPr>
        <w:snapToGrid w:val="0"/>
        <w:spacing w:line="360" w:lineRule="auto"/>
        <w:ind w:left="1" w:firstLine="480" w:firstLineChars="200"/>
        <w:rPr>
          <w:rFonts w:hAnsi="宋体" w:cs="宋体"/>
          <w:sz w:val="24"/>
          <w:szCs w:val="24"/>
        </w:rPr>
      </w:pPr>
      <w:r>
        <w:rPr>
          <w:rFonts w:hint="eastAsia" w:hAnsi="宋体" w:cs="宋体"/>
          <w:sz w:val="24"/>
          <w:szCs w:val="24"/>
        </w:rPr>
        <w:t>兹授权</w:t>
      </w:r>
      <w:r>
        <w:rPr>
          <w:rFonts w:hint="eastAsia" w:hAnsi="宋体" w:cs="宋体"/>
          <w:sz w:val="24"/>
          <w:szCs w:val="24"/>
          <w:u w:val="single"/>
        </w:rPr>
        <w:t xml:space="preserve">               （</w:t>
      </w:r>
      <w:r>
        <w:rPr>
          <w:rFonts w:hint="eastAsia" w:hAnsi="宋体" w:cs="宋体"/>
          <w:sz w:val="24"/>
          <w:szCs w:val="24"/>
        </w:rPr>
        <w:t>被授权人的姓名）代表我公司参加（竞争性磋商项目名称)项目的磋商活动，全权处理一切与该项目磋商有关的事务。其在办理上述事宜过程中所签署的所有文件我公司均予以承认。</w:t>
      </w:r>
    </w:p>
    <w:p>
      <w:pPr>
        <w:snapToGrid w:val="0"/>
        <w:spacing w:line="360" w:lineRule="auto"/>
        <w:ind w:left="1" w:firstLine="480" w:firstLineChars="200"/>
        <w:rPr>
          <w:rFonts w:hAnsi="宋体"/>
          <w:sz w:val="24"/>
          <w:szCs w:val="24"/>
        </w:rPr>
      </w:pPr>
      <w:r>
        <w:rPr>
          <w:rFonts w:hint="eastAsia" w:hAnsi="宋体" w:cs="宋体"/>
          <w:sz w:val="24"/>
          <w:szCs w:val="24"/>
        </w:rPr>
        <w:t>被授权人无转委托权。特此委托。</w:t>
      </w:r>
    </w:p>
    <w:p>
      <w:pPr>
        <w:snapToGrid w:val="0"/>
        <w:spacing w:line="360" w:lineRule="auto"/>
        <w:ind w:left="1" w:firstLine="480" w:firstLineChars="200"/>
        <w:rPr>
          <w:rFonts w:hAnsi="宋体" w:cs="宋体"/>
          <w:sz w:val="24"/>
          <w:szCs w:val="24"/>
        </w:rPr>
      </w:pPr>
    </w:p>
    <w:p>
      <w:pPr>
        <w:snapToGrid w:val="0"/>
        <w:spacing w:line="360" w:lineRule="auto"/>
        <w:rPr>
          <w:rFonts w:hAnsi="宋体" w:cs="宋体"/>
          <w:sz w:val="24"/>
          <w:szCs w:val="24"/>
        </w:rPr>
      </w:pPr>
    </w:p>
    <w:p>
      <w:pPr>
        <w:snapToGrid w:val="0"/>
        <w:spacing w:line="360" w:lineRule="auto"/>
        <w:rPr>
          <w:rFonts w:hAnsi="宋体" w:cs="宋体"/>
          <w:sz w:val="24"/>
          <w:szCs w:val="24"/>
        </w:rPr>
      </w:pPr>
      <w:r>
        <w:rPr>
          <w:rFonts w:hint="eastAsia" w:hAnsi="宋体" w:cs="宋体"/>
          <w:sz w:val="24"/>
          <w:szCs w:val="24"/>
        </w:rPr>
        <w:t>附：被授权人情况：</w:t>
      </w:r>
    </w:p>
    <w:p>
      <w:pPr>
        <w:snapToGrid w:val="0"/>
        <w:spacing w:line="360" w:lineRule="auto"/>
        <w:rPr>
          <w:rFonts w:hAnsi="宋体" w:cs="宋体"/>
          <w:sz w:val="24"/>
          <w:szCs w:val="24"/>
          <w:u w:val="single"/>
        </w:rPr>
      </w:pPr>
      <w:r>
        <w:rPr>
          <w:rFonts w:hint="eastAsia" w:hAnsi="宋体" w:cs="宋体"/>
          <w:sz w:val="24"/>
          <w:szCs w:val="24"/>
        </w:rPr>
        <w:t>姓名：性别：年龄：职务：</w:t>
      </w:r>
    </w:p>
    <w:p>
      <w:pPr>
        <w:snapToGrid w:val="0"/>
        <w:spacing w:line="360" w:lineRule="auto"/>
        <w:rPr>
          <w:rFonts w:hAnsi="宋体" w:cs="宋体"/>
          <w:sz w:val="24"/>
          <w:szCs w:val="24"/>
        </w:rPr>
      </w:pPr>
      <w:r>
        <w:rPr>
          <w:rFonts w:hint="eastAsia" w:hAnsi="宋体" w:cs="宋体"/>
          <w:sz w:val="24"/>
          <w:szCs w:val="24"/>
        </w:rPr>
        <w:t>身份证号码：</w:t>
      </w:r>
      <w:r>
        <w:rPr>
          <w:rFonts w:hint="eastAsia" w:hAnsi="宋体" w:cs="宋体"/>
          <w:color w:val="FFFFFF" w:themeColor="background1"/>
          <w:sz w:val="24"/>
          <w:szCs w:val="24"/>
          <w:u w:val="single"/>
        </w:rPr>
        <w:t>。</w:t>
      </w:r>
    </w:p>
    <w:p>
      <w:pPr>
        <w:snapToGrid w:val="0"/>
        <w:spacing w:line="360" w:lineRule="auto"/>
        <w:rPr>
          <w:rFonts w:hAnsi="宋体" w:cs="宋体"/>
          <w:sz w:val="24"/>
          <w:szCs w:val="24"/>
        </w:rPr>
      </w:pPr>
      <w:r>
        <w:rPr>
          <w:rFonts w:hint="eastAsia" w:hAnsi="宋体" w:cs="宋体"/>
          <w:sz w:val="24"/>
          <w:szCs w:val="24"/>
        </w:rPr>
        <w:t>手机：传真：</w:t>
      </w:r>
      <w:r>
        <w:rPr>
          <w:rFonts w:hint="eastAsia" w:hAnsi="宋体" w:cs="宋体"/>
          <w:color w:val="FFFFFF" w:themeColor="background1"/>
          <w:sz w:val="24"/>
          <w:szCs w:val="24"/>
          <w:u w:val="single"/>
        </w:rPr>
        <w:t>。</w:t>
      </w:r>
    </w:p>
    <w:p>
      <w:pPr>
        <w:snapToGrid w:val="0"/>
        <w:spacing w:line="360" w:lineRule="auto"/>
        <w:rPr>
          <w:rFonts w:hAnsi="宋体" w:cs="宋体"/>
          <w:sz w:val="24"/>
          <w:szCs w:val="24"/>
        </w:rPr>
      </w:pPr>
      <w:r>
        <w:rPr>
          <w:rFonts w:hint="eastAsia" w:hAnsi="宋体" w:cs="宋体"/>
          <w:sz w:val="24"/>
          <w:szCs w:val="24"/>
        </w:rPr>
        <w:t> </w:t>
      </w:r>
    </w:p>
    <w:p>
      <w:pPr>
        <w:snapToGrid w:val="0"/>
        <w:spacing w:line="360" w:lineRule="auto"/>
        <w:rPr>
          <w:rFonts w:hAnsi="宋体" w:cs="宋体"/>
          <w:sz w:val="24"/>
          <w:szCs w:val="24"/>
        </w:rPr>
      </w:pPr>
      <w:r>
        <w:rPr>
          <w:rFonts w:hint="eastAsia" w:hAnsi="宋体" w:cs="宋体"/>
          <w:sz w:val="24"/>
          <w:szCs w:val="24"/>
        </w:rPr>
        <w:t>单位名称（公章）             法定代表人（签字或盖章）</w:t>
      </w:r>
    </w:p>
    <w:p>
      <w:pPr>
        <w:snapToGrid w:val="0"/>
        <w:spacing w:line="360" w:lineRule="auto"/>
        <w:ind w:firstLine="1200" w:firstLineChars="500"/>
        <w:rPr>
          <w:rFonts w:hAnsi="宋体" w:cs="宋体"/>
          <w:sz w:val="24"/>
          <w:szCs w:val="24"/>
        </w:rPr>
      </w:pPr>
      <w:r>
        <w:rPr>
          <w:rFonts w:hint="eastAsia" w:hAnsi="宋体" w:cs="宋体"/>
          <w:sz w:val="24"/>
          <w:szCs w:val="24"/>
        </w:rPr>
        <w:t xml:space="preserve">年   月   日                 年   月    日  </w:t>
      </w:r>
    </w:p>
    <w:p>
      <w:pPr>
        <w:snapToGrid w:val="0"/>
        <w:spacing w:line="360" w:lineRule="auto"/>
        <w:rPr>
          <w:rFonts w:hAnsi="宋体" w:cs="宋体"/>
          <w:sz w:val="24"/>
          <w:szCs w:val="24"/>
        </w:rPr>
      </w:pPr>
    </w:p>
    <w:p>
      <w:pPr>
        <w:snapToGrid w:val="0"/>
        <w:spacing w:line="360" w:lineRule="auto"/>
        <w:rPr>
          <w:rFonts w:hAnsi="宋体" w:cs="宋体"/>
          <w:sz w:val="24"/>
          <w:szCs w:val="24"/>
        </w:rPr>
      </w:pPr>
      <w:r>
        <w:rPr>
          <w:rFonts w:hint="eastAsia" w:hAnsi="宋体" w:cs="宋体"/>
          <w:sz w:val="24"/>
          <w:szCs w:val="24"/>
        </w:rPr>
        <w:t>被授权人身份证复印件</w:t>
      </w:r>
    </w:p>
    <w:p>
      <w:pPr>
        <w:snapToGrid w:val="0"/>
        <w:spacing w:line="360" w:lineRule="auto"/>
        <w:rPr>
          <w:rFonts w:hAnsi="宋体" w:cs="宋体"/>
          <w:sz w:val="24"/>
          <w:szCs w:val="24"/>
        </w:rPr>
      </w:pPr>
    </w:p>
    <w:p>
      <w:pPr>
        <w:snapToGrid w:val="0"/>
        <w:spacing w:line="360" w:lineRule="auto"/>
        <w:jc w:val="center"/>
        <w:rPr>
          <w:rFonts w:hAnsi="宋体" w:cs="宋体"/>
          <w:sz w:val="24"/>
          <w:szCs w:val="24"/>
        </w:rPr>
      </w:pPr>
    </w:p>
    <w:p>
      <w:pPr>
        <w:snapToGrid w:val="0"/>
        <w:spacing w:line="360" w:lineRule="auto"/>
        <w:jc w:val="center"/>
        <w:rPr>
          <w:rFonts w:hAnsi="宋体" w:cs="宋体"/>
          <w:b/>
          <w:bCs/>
          <w:sz w:val="24"/>
          <w:szCs w:val="24"/>
        </w:rPr>
      </w:pPr>
      <w:r>
        <w:rPr>
          <w:rFonts w:hint="eastAsia" w:hAnsi="宋体" w:cs="宋体"/>
          <w:sz w:val="24"/>
          <w:szCs w:val="24"/>
        </w:rPr>
        <w:t>（粘贴此处）</w:t>
      </w:r>
    </w:p>
    <w:p>
      <w:pPr>
        <w:snapToGrid w:val="0"/>
        <w:spacing w:line="360" w:lineRule="auto"/>
        <w:ind w:firstLine="482" w:firstLineChars="200"/>
        <w:jc w:val="center"/>
        <w:rPr>
          <w:rFonts w:hAnsi="宋体" w:cs="宋体"/>
          <w:b/>
          <w:bCs/>
          <w:sz w:val="24"/>
          <w:szCs w:val="24"/>
        </w:rPr>
      </w:pPr>
      <w:r>
        <w:rPr>
          <w:rFonts w:hint="eastAsia" w:hAnsi="宋体" w:cs="宋体"/>
          <w:b/>
          <w:bCs/>
          <w:sz w:val="24"/>
          <w:szCs w:val="24"/>
        </w:rPr>
        <w:t>注:参加磋商活动时被授权人将身份证原件带至开标现场备查。</w:t>
      </w:r>
    </w:p>
    <w:p>
      <w:pPr>
        <w:spacing w:line="360" w:lineRule="auto"/>
        <w:jc w:val="center"/>
        <w:rPr>
          <w:rFonts w:ascii="宋体" w:hAnsi="宋体" w:cs="宋体"/>
          <w:b/>
          <w:sz w:val="24"/>
          <w:szCs w:val="24"/>
        </w:rPr>
      </w:pPr>
      <w:r>
        <w:rPr>
          <w:rFonts w:hint="eastAsia" w:hAnsi="宋体" w:cs="宋体"/>
          <w:b/>
          <w:bCs/>
          <w:sz w:val="28"/>
          <w:szCs w:val="28"/>
        </w:rPr>
        <w:br w:type="page"/>
      </w:r>
      <w:r>
        <w:rPr>
          <w:rFonts w:hint="eastAsia" w:ascii="宋体" w:hAnsi="宋体" w:cs="宋体"/>
          <w:b/>
          <w:bCs/>
          <w:sz w:val="24"/>
          <w:szCs w:val="24"/>
        </w:rPr>
        <w:t>３.</w:t>
      </w:r>
      <w:r>
        <w:rPr>
          <w:rFonts w:hint="eastAsia" w:ascii="宋体" w:hAnsi="宋体" w:cs="宋体"/>
          <w:b/>
          <w:sz w:val="24"/>
          <w:szCs w:val="24"/>
        </w:rPr>
        <w:t>企业履约情况证明及无不良记录承诺书</w:t>
      </w:r>
    </w:p>
    <w:p>
      <w:pPr>
        <w:pStyle w:val="20"/>
        <w:spacing w:line="360" w:lineRule="auto"/>
        <w:ind w:firstLine="0" w:firstLineChars="0"/>
      </w:pPr>
    </w:p>
    <w:p>
      <w:pPr>
        <w:widowControl/>
        <w:spacing w:line="360" w:lineRule="auto"/>
        <w:jc w:val="left"/>
        <w:rPr>
          <w:szCs w:val="24"/>
          <w:u w:val="single"/>
        </w:rPr>
      </w:pPr>
      <w:r>
        <w:rPr>
          <w:rFonts w:hint="eastAsia" w:hAnsi="宋体" w:cs="宋体"/>
          <w:sz w:val="24"/>
          <w:szCs w:val="24"/>
          <w:u w:val="single"/>
        </w:rPr>
        <w:t>南通市计量检定测试所</w:t>
      </w:r>
      <w:r>
        <w:rPr>
          <w:rFonts w:hint="eastAsia"/>
          <w:szCs w:val="24"/>
          <w:u w:val="single"/>
        </w:rPr>
        <w:t>：</w:t>
      </w:r>
    </w:p>
    <w:p>
      <w:pPr>
        <w:spacing w:line="360" w:lineRule="auto"/>
        <w:ind w:firstLine="480" w:firstLineChars="200"/>
        <w:rPr>
          <w:rFonts w:ascii="宋体" w:hAnsi="宋体"/>
          <w:szCs w:val="24"/>
        </w:rPr>
      </w:pPr>
      <w:r>
        <w:rPr>
          <w:rFonts w:hint="eastAsia" w:hAnsi="宋体" w:cs="宋体"/>
          <w:sz w:val="24"/>
          <w:szCs w:val="24"/>
        </w:rPr>
        <w:t>我单位（供应商名称）郑重声明</w:t>
      </w:r>
      <w:r>
        <w:rPr>
          <w:rFonts w:hint="eastAsia" w:ascii="宋体" w:hAnsi="宋体"/>
          <w:szCs w:val="24"/>
        </w:rPr>
        <w:t>承诺：</w:t>
      </w:r>
    </w:p>
    <w:p>
      <w:pPr>
        <w:spacing w:line="360" w:lineRule="auto"/>
        <w:ind w:firstLine="480" w:firstLineChars="200"/>
        <w:rPr>
          <w:rFonts w:hAnsi="宋体" w:cs="宋体"/>
          <w:sz w:val="24"/>
          <w:szCs w:val="24"/>
        </w:rPr>
      </w:pPr>
      <w:r>
        <w:rPr>
          <w:rFonts w:hint="eastAsia" w:hAnsi="宋体" w:cs="宋体"/>
          <w:sz w:val="24"/>
          <w:szCs w:val="24"/>
        </w:rPr>
        <w:t>1</w:t>
      </w:r>
      <w:r>
        <w:rPr>
          <w:rFonts w:hint="eastAsia" w:ascii="宋体" w:hAnsi="宋体" w:cs="宋体"/>
          <w:sz w:val="24"/>
          <w:szCs w:val="24"/>
        </w:rPr>
        <w:t>.</w:t>
      </w:r>
      <w:r>
        <w:rPr>
          <w:rFonts w:hint="eastAsia" w:hAnsi="宋体" w:cs="宋体"/>
          <w:sz w:val="24"/>
          <w:szCs w:val="24"/>
        </w:rPr>
        <w:t>我单位未处于被责令停业的状态；</w:t>
      </w:r>
    </w:p>
    <w:p>
      <w:pPr>
        <w:spacing w:line="360" w:lineRule="auto"/>
        <w:ind w:firstLine="480" w:firstLineChars="200"/>
        <w:rPr>
          <w:rFonts w:hAnsi="宋体" w:cs="宋体"/>
          <w:sz w:val="24"/>
          <w:szCs w:val="24"/>
        </w:rPr>
      </w:pPr>
      <w:r>
        <w:rPr>
          <w:rFonts w:hint="eastAsia" w:hAnsi="宋体" w:cs="宋体"/>
          <w:sz w:val="24"/>
          <w:szCs w:val="24"/>
        </w:rPr>
        <w:t>2</w:t>
      </w:r>
      <w:r>
        <w:rPr>
          <w:rFonts w:hint="eastAsia" w:ascii="宋体" w:hAnsi="宋体" w:cs="宋体"/>
          <w:sz w:val="24"/>
          <w:szCs w:val="24"/>
        </w:rPr>
        <w:t>.</w:t>
      </w:r>
      <w:r>
        <w:rPr>
          <w:rFonts w:hint="eastAsia" w:hAnsi="宋体" w:cs="宋体"/>
          <w:sz w:val="24"/>
          <w:szCs w:val="24"/>
        </w:rPr>
        <w:t>我单位没有处于财产被接管、冻结、破产的状态；</w:t>
      </w:r>
    </w:p>
    <w:p>
      <w:pPr>
        <w:spacing w:line="360" w:lineRule="auto"/>
        <w:ind w:firstLine="480" w:firstLineChars="200"/>
        <w:rPr>
          <w:rFonts w:ascii="宋体" w:hAnsi="宋体" w:cs="宋体"/>
          <w:sz w:val="24"/>
          <w:szCs w:val="24"/>
        </w:rPr>
      </w:pPr>
      <w:r>
        <w:rPr>
          <w:rFonts w:hint="eastAsia" w:hAnsi="宋体" w:cs="宋体"/>
          <w:sz w:val="24"/>
          <w:szCs w:val="24"/>
        </w:rPr>
        <w:t>3</w:t>
      </w:r>
      <w:r>
        <w:rPr>
          <w:rFonts w:hint="eastAsia" w:ascii="宋体" w:hAnsi="宋体" w:cs="宋体"/>
          <w:sz w:val="24"/>
          <w:szCs w:val="24"/>
        </w:rPr>
        <w:t>.</w:t>
      </w:r>
      <w:r>
        <w:rPr>
          <w:rFonts w:hint="eastAsia" w:hAnsi="宋体" w:cs="宋体"/>
          <w:sz w:val="24"/>
          <w:szCs w:val="24"/>
        </w:rPr>
        <w:t>我单位</w:t>
      </w:r>
      <w:r>
        <w:rPr>
          <w:rFonts w:hint="eastAsia" w:ascii="宋体" w:hAnsi="宋体" w:cs="宋体"/>
          <w:sz w:val="24"/>
          <w:szCs w:val="24"/>
        </w:rPr>
        <w:t>具有良好的商业信誉和健全的财务会计制度；有依法缴纳税收和社会保障资金的良好记录</w:t>
      </w:r>
    </w:p>
    <w:p>
      <w:pPr>
        <w:pStyle w:val="20"/>
        <w:spacing w:line="360" w:lineRule="auto"/>
        <w:ind w:firstLine="480"/>
        <w:rPr>
          <w:rFonts w:ascii="宋体" w:hAnsi="宋体" w:cs="宋体"/>
          <w:sz w:val="24"/>
        </w:rPr>
      </w:pPr>
    </w:p>
    <w:p>
      <w:pPr>
        <w:pStyle w:val="20"/>
        <w:spacing w:line="360" w:lineRule="auto"/>
        <w:ind w:firstLine="480"/>
        <w:rPr>
          <w:rFonts w:ascii="宋体" w:hAnsi="宋体" w:cs="宋体"/>
          <w:sz w:val="24"/>
        </w:rPr>
      </w:pPr>
    </w:p>
    <w:p>
      <w:pPr>
        <w:spacing w:line="360" w:lineRule="auto"/>
        <w:ind w:firstLine="6720" w:firstLineChars="2800"/>
        <w:rPr>
          <w:rFonts w:hAnsi="宋体" w:cs="宋体"/>
          <w:sz w:val="24"/>
          <w:szCs w:val="24"/>
        </w:rPr>
      </w:pPr>
      <w:r>
        <w:rPr>
          <w:rFonts w:hint="eastAsia" w:hAnsi="宋体" w:cs="宋体"/>
          <w:sz w:val="24"/>
          <w:szCs w:val="24"/>
        </w:rPr>
        <w:t>声明人：（公章）</w:t>
      </w:r>
    </w:p>
    <w:p>
      <w:pPr>
        <w:spacing w:line="360" w:lineRule="auto"/>
        <w:jc w:val="center"/>
        <w:rPr>
          <w:rFonts w:hAnsi="宋体" w:cs="宋体"/>
          <w:sz w:val="24"/>
          <w:szCs w:val="24"/>
        </w:rPr>
      </w:pPr>
      <w:r>
        <w:rPr>
          <w:rFonts w:hint="eastAsia" w:hAnsi="宋体" w:cs="宋体"/>
          <w:sz w:val="24"/>
          <w:szCs w:val="24"/>
        </w:rPr>
        <w:t xml:space="preserve">                                                  年     月    日</w:t>
      </w:r>
    </w:p>
    <w:p>
      <w:pPr>
        <w:pStyle w:val="20"/>
        <w:spacing w:line="360" w:lineRule="auto"/>
        <w:ind w:firstLine="480"/>
        <w:rPr>
          <w:rFonts w:ascii="宋体" w:hAnsi="宋体" w:cs="宋体"/>
          <w:sz w:val="24"/>
        </w:rPr>
      </w:pPr>
    </w:p>
    <w:p>
      <w:pPr>
        <w:spacing w:line="360" w:lineRule="auto"/>
        <w:jc w:val="center"/>
        <w:rPr>
          <w:rFonts w:hAnsi="宋体" w:cs="宋体"/>
          <w:b/>
          <w:bCs/>
          <w:sz w:val="24"/>
          <w:szCs w:val="24"/>
        </w:rPr>
      </w:pPr>
    </w:p>
    <w:p>
      <w:pPr>
        <w:spacing w:line="360" w:lineRule="auto"/>
        <w:jc w:val="center"/>
        <w:rPr>
          <w:rFonts w:hAnsi="宋体" w:cs="宋体"/>
          <w:b/>
          <w:bCs/>
          <w:sz w:val="24"/>
          <w:szCs w:val="24"/>
        </w:rPr>
      </w:pPr>
      <w:r>
        <w:rPr>
          <w:rFonts w:hint="eastAsia" w:hAnsi="宋体" w:cs="宋体"/>
          <w:b/>
          <w:bCs/>
          <w:sz w:val="24"/>
          <w:szCs w:val="24"/>
        </w:rPr>
        <w:t>4</w:t>
      </w:r>
      <w:r>
        <w:rPr>
          <w:rFonts w:hint="eastAsia" w:ascii="宋体" w:hAnsi="宋体" w:cs="宋体"/>
          <w:sz w:val="24"/>
          <w:szCs w:val="24"/>
        </w:rPr>
        <w:t>.</w:t>
      </w:r>
      <w:r>
        <w:rPr>
          <w:rFonts w:hint="eastAsia" w:hAnsi="宋体" w:cs="宋体"/>
          <w:b/>
          <w:bCs/>
          <w:sz w:val="24"/>
          <w:szCs w:val="24"/>
        </w:rPr>
        <w:t>无重大违法记录声明</w:t>
      </w:r>
    </w:p>
    <w:p>
      <w:pPr>
        <w:snapToGrid w:val="0"/>
        <w:spacing w:line="360" w:lineRule="auto"/>
        <w:rPr>
          <w:rFonts w:hAnsi="宋体" w:cs="宋体"/>
          <w:bCs/>
          <w:sz w:val="24"/>
          <w:szCs w:val="24"/>
        </w:rPr>
      </w:pPr>
      <w:r>
        <w:rPr>
          <w:rFonts w:hint="eastAsia" w:hAnsi="宋体" w:cs="宋体"/>
          <w:sz w:val="24"/>
          <w:szCs w:val="24"/>
          <w:u w:val="single"/>
        </w:rPr>
        <w:t>南通市计量检定测试所</w:t>
      </w:r>
      <w:r>
        <w:rPr>
          <w:rFonts w:hint="eastAsia" w:hAnsi="宋体" w:cs="宋体"/>
          <w:bCs/>
          <w:sz w:val="24"/>
          <w:szCs w:val="24"/>
        </w:rPr>
        <w:t>：</w:t>
      </w:r>
    </w:p>
    <w:p>
      <w:pPr>
        <w:spacing w:line="360" w:lineRule="auto"/>
        <w:rPr>
          <w:rFonts w:hAnsi="宋体" w:cs="宋体"/>
          <w:sz w:val="24"/>
          <w:szCs w:val="24"/>
        </w:rPr>
      </w:pPr>
      <w:r>
        <w:rPr>
          <w:rFonts w:hint="eastAsia" w:hAnsi="宋体" w:cs="宋体"/>
          <w:sz w:val="24"/>
          <w:szCs w:val="24"/>
        </w:rPr>
        <w:t xml:space="preserve">    我单位（供应商名称）郑重声明：</w:t>
      </w:r>
    </w:p>
    <w:p>
      <w:pPr>
        <w:spacing w:line="360" w:lineRule="auto"/>
        <w:rPr>
          <w:rFonts w:hAnsi="宋体" w:cs="宋体"/>
          <w:sz w:val="24"/>
          <w:szCs w:val="24"/>
        </w:rPr>
      </w:pPr>
      <w:r>
        <w:rPr>
          <w:rFonts w:hint="eastAsia" w:hAnsi="宋体" w:cs="宋体"/>
          <w:sz w:val="24"/>
          <w:szCs w:val="24"/>
        </w:rPr>
        <w:t xml:space="preserve">    参加政府采购活动前3年内在经营活动中（在下划线上如实填写：有或没有）重大违法记录。</w:t>
      </w:r>
    </w:p>
    <w:p>
      <w:pPr>
        <w:spacing w:line="360" w:lineRule="auto"/>
        <w:ind w:firstLine="480"/>
        <w:rPr>
          <w:rFonts w:hAnsi="宋体" w:cs="宋体"/>
          <w:sz w:val="24"/>
          <w:szCs w:val="24"/>
        </w:rPr>
      </w:pPr>
      <w:r>
        <w:rPr>
          <w:rFonts w:hint="eastAsia"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20"/>
        <w:spacing w:line="360" w:lineRule="auto"/>
        <w:ind w:left="0" w:leftChars="0" w:firstLine="480"/>
        <w:rPr>
          <w:rFonts w:hAnsi="宋体" w:cs="宋体"/>
          <w:sz w:val="24"/>
        </w:rPr>
      </w:pPr>
    </w:p>
    <w:p>
      <w:pPr>
        <w:pStyle w:val="20"/>
        <w:spacing w:line="360" w:lineRule="auto"/>
        <w:ind w:left="0" w:leftChars="0" w:firstLine="480"/>
        <w:rPr>
          <w:rFonts w:hAnsi="宋体" w:cs="宋体"/>
          <w:sz w:val="24"/>
        </w:rPr>
      </w:pPr>
    </w:p>
    <w:p>
      <w:pPr>
        <w:spacing w:line="360" w:lineRule="auto"/>
        <w:rPr>
          <w:rFonts w:hAnsi="宋体" w:cs="宋体"/>
          <w:sz w:val="24"/>
          <w:szCs w:val="24"/>
        </w:rPr>
      </w:pPr>
      <w:r>
        <w:rPr>
          <w:rFonts w:hint="eastAsia" w:hAnsi="宋体" w:cs="宋体"/>
          <w:sz w:val="24"/>
          <w:szCs w:val="24"/>
        </w:rPr>
        <w:t xml:space="preserve">                                                        声明人：（公章）</w:t>
      </w:r>
    </w:p>
    <w:p>
      <w:pPr>
        <w:spacing w:line="360" w:lineRule="auto"/>
        <w:jc w:val="center"/>
        <w:rPr>
          <w:rFonts w:hAnsi="宋体" w:cs="宋体"/>
          <w:sz w:val="24"/>
          <w:szCs w:val="24"/>
        </w:rPr>
      </w:pPr>
      <w:r>
        <w:rPr>
          <w:rFonts w:hint="eastAsia" w:hAnsi="宋体" w:cs="宋体"/>
          <w:sz w:val="24"/>
          <w:szCs w:val="24"/>
        </w:rPr>
        <w:t xml:space="preserve">                                                  年     月    日</w:t>
      </w:r>
    </w:p>
    <w:p>
      <w:pPr>
        <w:snapToGrid w:val="0"/>
        <w:spacing w:line="360" w:lineRule="auto"/>
        <w:ind w:firstLine="482" w:firstLineChars="200"/>
        <w:jc w:val="center"/>
        <w:rPr>
          <w:rFonts w:hAnsi="宋体" w:cs="宋体"/>
          <w:b/>
          <w:bCs/>
          <w:sz w:val="24"/>
          <w:szCs w:val="24"/>
        </w:rPr>
      </w:pPr>
      <w:r>
        <w:rPr>
          <w:rFonts w:hint="eastAsia" w:hAnsi="宋体" w:cs="宋体"/>
          <w:b/>
          <w:bCs/>
          <w:sz w:val="24"/>
          <w:szCs w:val="24"/>
        </w:rPr>
        <w:br w:type="page"/>
      </w:r>
    </w:p>
    <w:p>
      <w:pPr>
        <w:spacing w:line="500" w:lineRule="exact"/>
        <w:ind w:left="420" w:leftChars="200"/>
        <w:jc w:val="center"/>
        <w:outlineLvl w:val="3"/>
        <w:rPr>
          <w:rFonts w:hAnsi="宋体" w:cs="宋体"/>
          <w:b/>
          <w:sz w:val="24"/>
          <w:szCs w:val="24"/>
        </w:rPr>
      </w:pPr>
      <w:r>
        <w:rPr>
          <w:rFonts w:hint="eastAsia" w:hAnsi="宋体" w:cs="宋体"/>
          <w:b/>
          <w:bCs/>
          <w:sz w:val="24"/>
          <w:szCs w:val="24"/>
        </w:rPr>
        <w:t>5、承诺函</w:t>
      </w:r>
    </w:p>
    <w:p>
      <w:pPr>
        <w:snapToGrid w:val="0"/>
        <w:spacing w:line="360" w:lineRule="auto"/>
        <w:rPr>
          <w:rFonts w:ascii="方正仿宋_GBK"/>
          <w:sz w:val="24"/>
          <w:szCs w:val="24"/>
          <w:u w:val="single"/>
        </w:rPr>
      </w:pPr>
    </w:p>
    <w:p>
      <w:pPr>
        <w:snapToGrid w:val="0"/>
        <w:spacing w:line="360" w:lineRule="auto"/>
        <w:rPr>
          <w:rFonts w:hAnsi="宋体" w:cs="宋体"/>
          <w:bCs/>
          <w:sz w:val="24"/>
          <w:szCs w:val="24"/>
        </w:rPr>
      </w:pPr>
      <w:r>
        <w:rPr>
          <w:rFonts w:hint="eastAsia" w:ascii="宋体" w:hAnsi="宋体" w:cs="宋体"/>
          <w:sz w:val="24"/>
          <w:szCs w:val="24"/>
        </w:rPr>
        <w:t>南通市计量检定测试所</w:t>
      </w:r>
      <w:r>
        <w:rPr>
          <w:rFonts w:hint="eastAsia" w:hAnsi="宋体" w:cs="宋体"/>
          <w:bCs/>
          <w:sz w:val="24"/>
          <w:szCs w:val="24"/>
        </w:rPr>
        <w:t>：</w:t>
      </w:r>
    </w:p>
    <w:p>
      <w:pPr>
        <w:spacing w:line="360" w:lineRule="auto"/>
        <w:rPr>
          <w:rFonts w:hAnsi="宋体" w:cs="宋体"/>
          <w:sz w:val="24"/>
          <w:szCs w:val="24"/>
        </w:rPr>
      </w:pPr>
      <w:r>
        <w:rPr>
          <w:rFonts w:hint="eastAsia" w:hAnsi="宋体" w:cs="宋体"/>
          <w:sz w:val="24"/>
          <w:szCs w:val="24"/>
        </w:rPr>
        <w:t xml:space="preserve">    我单位（供应商名称）郑重声明：</w:t>
      </w:r>
    </w:p>
    <w:p>
      <w:pPr>
        <w:tabs>
          <w:tab w:val="left" w:pos="6300"/>
        </w:tabs>
        <w:snapToGrid w:val="0"/>
        <w:spacing w:line="360" w:lineRule="auto"/>
        <w:ind w:firstLine="480" w:firstLineChars="200"/>
        <w:rPr>
          <w:rFonts w:hAnsi="宋体" w:cs="宋体"/>
          <w:sz w:val="44"/>
          <w:szCs w:val="44"/>
        </w:rPr>
      </w:pPr>
      <w:r>
        <w:rPr>
          <w:rFonts w:hint="eastAsia" w:hAnsi="宋体" w:cs="宋体"/>
          <w:sz w:val="24"/>
          <w:szCs w:val="24"/>
        </w:rPr>
        <w:t>参加项目的磋商活动，因疫情防控原因，本项目采用不见面开标形式，响应供应商人员无需到达开标现场。对此我单位认可本项目的开评标程序及评标结果，事后不质疑投诉。</w:t>
      </w:r>
    </w:p>
    <w:p>
      <w:pPr>
        <w:spacing w:line="360" w:lineRule="auto"/>
        <w:ind w:firstLine="480"/>
        <w:rPr>
          <w:rFonts w:hAnsi="宋体" w:cs="宋体"/>
          <w:sz w:val="24"/>
          <w:szCs w:val="24"/>
        </w:rPr>
      </w:pPr>
    </w:p>
    <w:p>
      <w:pPr>
        <w:kinsoku w:val="0"/>
        <w:topLinePunct/>
        <w:snapToGrid w:val="0"/>
        <w:spacing w:line="520" w:lineRule="exact"/>
        <w:ind w:firstLine="480" w:firstLineChars="200"/>
        <w:rPr>
          <w:rFonts w:hAnsi="宋体" w:cs="宋体"/>
          <w:sz w:val="24"/>
          <w:szCs w:val="24"/>
        </w:rPr>
      </w:pPr>
    </w:p>
    <w:p>
      <w:pPr>
        <w:kinsoku w:val="0"/>
        <w:topLinePunct/>
        <w:snapToGrid w:val="0"/>
        <w:spacing w:line="520" w:lineRule="exact"/>
        <w:ind w:firstLine="480" w:firstLineChars="200"/>
        <w:rPr>
          <w:rFonts w:hAnsi="宋体" w:cs="宋体"/>
          <w:sz w:val="24"/>
          <w:szCs w:val="24"/>
        </w:rPr>
      </w:pPr>
    </w:p>
    <w:p>
      <w:pPr>
        <w:kinsoku w:val="0"/>
        <w:topLinePunct/>
        <w:snapToGrid w:val="0"/>
        <w:spacing w:line="520" w:lineRule="exact"/>
        <w:ind w:firstLine="5040" w:firstLineChars="2100"/>
        <w:rPr>
          <w:rFonts w:ascii="方正仿宋_GBK"/>
          <w:sz w:val="24"/>
          <w:szCs w:val="24"/>
        </w:rPr>
      </w:pPr>
      <w:r>
        <w:rPr>
          <w:rFonts w:hint="eastAsia" w:ascii="方正仿宋_GBK"/>
          <w:sz w:val="24"/>
          <w:szCs w:val="24"/>
        </w:rPr>
        <w:t>供应商</w:t>
      </w:r>
      <w:r>
        <w:rPr>
          <w:rFonts w:hint="eastAsia" w:hAnsi="宋体" w:cs="宋体"/>
          <w:sz w:val="24"/>
          <w:szCs w:val="24"/>
        </w:rPr>
        <w:t>（加盖公章）</w:t>
      </w:r>
      <w:r>
        <w:rPr>
          <w:rFonts w:hint="eastAsia" w:ascii="方正仿宋_GBK"/>
          <w:sz w:val="24"/>
          <w:szCs w:val="24"/>
        </w:rPr>
        <w:t xml:space="preserve">：             </w:t>
      </w:r>
    </w:p>
    <w:p>
      <w:pPr>
        <w:kinsoku w:val="0"/>
        <w:topLinePunct/>
        <w:snapToGrid w:val="0"/>
        <w:spacing w:line="520" w:lineRule="exact"/>
        <w:ind w:firstLine="5040" w:firstLineChars="2100"/>
        <w:rPr>
          <w:rFonts w:ascii="方正仿宋_GBK"/>
          <w:sz w:val="24"/>
          <w:szCs w:val="24"/>
        </w:rPr>
      </w:pPr>
      <w:r>
        <w:rPr>
          <w:rFonts w:hint="eastAsia" w:ascii="方正仿宋_GBK"/>
          <w:sz w:val="24"/>
          <w:szCs w:val="24"/>
        </w:rPr>
        <w:t>法定代表人（签字或盖章）：</w:t>
      </w:r>
    </w:p>
    <w:p>
      <w:pPr>
        <w:spacing w:line="360" w:lineRule="auto"/>
        <w:jc w:val="center"/>
        <w:rPr>
          <w:rFonts w:hAnsi="宋体" w:cs="宋体"/>
          <w:sz w:val="24"/>
          <w:szCs w:val="24"/>
        </w:rPr>
      </w:pPr>
      <w:r>
        <w:rPr>
          <w:rFonts w:hint="eastAsia" w:ascii="方正仿宋_GBK"/>
          <w:sz w:val="24"/>
          <w:szCs w:val="24"/>
        </w:rPr>
        <w:t xml:space="preserve">             日期：</w:t>
      </w:r>
    </w:p>
    <w:p>
      <w:pPr>
        <w:snapToGrid w:val="0"/>
        <w:spacing w:line="360" w:lineRule="auto"/>
        <w:ind w:firstLine="482" w:firstLineChars="200"/>
        <w:jc w:val="center"/>
        <w:rPr>
          <w:rFonts w:hAnsi="宋体" w:cs="宋体"/>
          <w:b/>
          <w:bCs/>
          <w:sz w:val="24"/>
          <w:szCs w:val="24"/>
        </w:rPr>
      </w:pPr>
    </w:p>
    <w:p>
      <w:pPr>
        <w:snapToGrid w:val="0"/>
        <w:spacing w:line="360" w:lineRule="auto"/>
        <w:ind w:firstLine="482" w:firstLineChars="200"/>
        <w:jc w:val="center"/>
        <w:rPr>
          <w:rFonts w:hAnsi="宋体" w:cs="宋体"/>
          <w:b/>
          <w:bCs/>
          <w:sz w:val="24"/>
          <w:szCs w:val="24"/>
        </w:rPr>
      </w:pPr>
    </w:p>
    <w:p>
      <w:pPr>
        <w:pStyle w:val="2"/>
        <w:spacing w:before="164"/>
        <w:ind w:firstLine="600"/>
      </w:pPr>
    </w:p>
    <w:p>
      <w:pPr>
        <w:pStyle w:val="2"/>
        <w:spacing w:before="164"/>
        <w:ind w:firstLine="600"/>
      </w:pPr>
    </w:p>
    <w:p>
      <w:pPr>
        <w:pStyle w:val="2"/>
        <w:spacing w:before="164"/>
        <w:ind w:firstLine="600"/>
      </w:pPr>
    </w:p>
    <w:p>
      <w:pPr>
        <w:pStyle w:val="2"/>
        <w:spacing w:before="164"/>
        <w:ind w:firstLine="600"/>
      </w:pPr>
    </w:p>
    <w:p>
      <w:pPr>
        <w:pStyle w:val="2"/>
        <w:spacing w:before="164"/>
        <w:ind w:firstLine="600"/>
      </w:pPr>
    </w:p>
    <w:p>
      <w:pPr>
        <w:pStyle w:val="2"/>
        <w:spacing w:before="164"/>
        <w:ind w:firstLine="600"/>
      </w:pPr>
    </w:p>
    <w:p>
      <w:pPr>
        <w:pStyle w:val="2"/>
        <w:spacing w:before="164"/>
        <w:ind w:firstLine="600"/>
      </w:pPr>
    </w:p>
    <w:p>
      <w:pPr>
        <w:pStyle w:val="2"/>
        <w:spacing w:before="164"/>
        <w:ind w:firstLine="600"/>
      </w:pPr>
    </w:p>
    <w:p>
      <w:pPr>
        <w:pStyle w:val="2"/>
        <w:spacing w:before="164"/>
        <w:ind w:firstLine="600"/>
      </w:pPr>
    </w:p>
    <w:p>
      <w:pPr>
        <w:pStyle w:val="2"/>
        <w:spacing w:before="164"/>
        <w:ind w:firstLine="600"/>
      </w:pPr>
    </w:p>
    <w:p>
      <w:pPr>
        <w:pStyle w:val="2"/>
        <w:spacing w:before="164"/>
        <w:ind w:firstLine="600"/>
      </w:pPr>
    </w:p>
    <w:p>
      <w:pPr>
        <w:pStyle w:val="2"/>
        <w:spacing w:before="164"/>
        <w:ind w:firstLine="600"/>
      </w:pPr>
    </w:p>
    <w:p>
      <w:pPr>
        <w:snapToGrid w:val="0"/>
        <w:spacing w:line="360" w:lineRule="auto"/>
        <w:ind w:firstLine="482" w:firstLineChars="200"/>
        <w:jc w:val="center"/>
        <w:rPr>
          <w:rFonts w:hAnsi="宋体" w:cs="宋体"/>
          <w:b/>
          <w:bCs/>
          <w:sz w:val="24"/>
          <w:szCs w:val="24"/>
        </w:rPr>
      </w:pPr>
      <w:r>
        <w:rPr>
          <w:rFonts w:hAnsi="宋体" w:cs="宋体"/>
          <w:b/>
          <w:bCs/>
          <w:sz w:val="24"/>
          <w:szCs w:val="24"/>
        </w:rPr>
        <w:t>6</w:t>
      </w:r>
      <w:r>
        <w:rPr>
          <w:rFonts w:hint="eastAsia" w:ascii="宋体" w:hAnsi="宋体" w:cs="宋体"/>
          <w:sz w:val="24"/>
          <w:szCs w:val="24"/>
        </w:rPr>
        <w:t>.</w:t>
      </w:r>
      <w:r>
        <w:rPr>
          <w:rFonts w:hint="eastAsia" w:hAnsi="宋体" w:cs="宋体"/>
          <w:b/>
          <w:bCs/>
          <w:sz w:val="24"/>
          <w:szCs w:val="24"/>
        </w:rPr>
        <w:t>竞争性磋商响应函</w:t>
      </w:r>
    </w:p>
    <w:p>
      <w:pPr>
        <w:snapToGrid w:val="0"/>
        <w:spacing w:line="360" w:lineRule="auto"/>
        <w:rPr>
          <w:rFonts w:hAnsi="宋体" w:cs="宋体"/>
          <w:sz w:val="24"/>
          <w:szCs w:val="24"/>
        </w:rPr>
      </w:pPr>
      <w:r>
        <w:rPr>
          <w:rFonts w:hint="eastAsia" w:hAnsi="宋体" w:cs="宋体"/>
          <w:sz w:val="24"/>
          <w:szCs w:val="24"/>
          <w:u w:val="single"/>
        </w:rPr>
        <w:t>南通市计量检定测试所</w:t>
      </w:r>
      <w:r>
        <w:rPr>
          <w:rFonts w:hint="eastAsia" w:hAnsi="宋体" w:cs="宋体"/>
          <w:sz w:val="24"/>
          <w:szCs w:val="24"/>
        </w:rPr>
        <w:t>：</w:t>
      </w:r>
    </w:p>
    <w:p>
      <w:pPr>
        <w:snapToGrid w:val="0"/>
        <w:spacing w:line="360" w:lineRule="auto"/>
        <w:ind w:firstLine="480" w:firstLineChars="200"/>
        <w:outlineLvl w:val="3"/>
        <w:rPr>
          <w:rFonts w:hAnsi="宋体" w:cs="宋体"/>
          <w:sz w:val="24"/>
          <w:szCs w:val="24"/>
        </w:rPr>
      </w:pPr>
      <w:r>
        <w:rPr>
          <w:rFonts w:hint="eastAsia" w:hAnsi="宋体" w:cs="宋体"/>
          <w:sz w:val="24"/>
          <w:szCs w:val="24"/>
        </w:rPr>
        <w:t>依据贵单位委托代理机构组织的（采购项目名称)项目竞争性磋商的邀请，我方授权（姓名）（职务）为全权代表参加该项目的磋商工作，全权处理本次竞争性磋商的有关事宜。同时，我公司声明如下：</w:t>
      </w:r>
    </w:p>
    <w:p>
      <w:pPr>
        <w:snapToGrid w:val="0"/>
        <w:spacing w:line="360" w:lineRule="auto"/>
        <w:ind w:firstLine="480" w:firstLineChars="200"/>
        <w:outlineLvl w:val="3"/>
        <w:rPr>
          <w:rFonts w:hAnsi="宋体" w:cs="宋体"/>
          <w:sz w:val="24"/>
          <w:szCs w:val="24"/>
        </w:rPr>
      </w:pPr>
      <w:r>
        <w:rPr>
          <w:rFonts w:hint="eastAsia" w:hAnsi="宋体" w:cs="宋体"/>
          <w:sz w:val="24"/>
          <w:szCs w:val="24"/>
        </w:rPr>
        <w:t>1</w:t>
      </w:r>
      <w:r>
        <w:rPr>
          <w:rFonts w:hint="eastAsia" w:ascii="宋体" w:hAnsi="宋体" w:cs="宋体"/>
          <w:sz w:val="24"/>
          <w:szCs w:val="24"/>
        </w:rPr>
        <w:t>.</w:t>
      </w:r>
      <w:r>
        <w:rPr>
          <w:rFonts w:hint="eastAsia" w:hAnsi="宋体" w:cs="宋体"/>
          <w:sz w:val="24"/>
          <w:szCs w:val="24"/>
        </w:rPr>
        <w:t>同意并接受竞争性磋商文件的各项要求，遵守竞争性磋商文件中的各项规定，按竞争性磋商文件的要求提供报价。</w:t>
      </w:r>
    </w:p>
    <w:p>
      <w:pPr>
        <w:snapToGrid w:val="0"/>
        <w:spacing w:line="360" w:lineRule="auto"/>
        <w:ind w:firstLine="480" w:firstLineChars="200"/>
        <w:outlineLvl w:val="3"/>
        <w:rPr>
          <w:rFonts w:hAnsi="宋体" w:cs="宋体"/>
          <w:sz w:val="24"/>
          <w:szCs w:val="24"/>
        </w:rPr>
      </w:pPr>
      <w:r>
        <w:rPr>
          <w:rFonts w:hint="eastAsia" w:hAnsi="宋体" w:cs="宋体"/>
          <w:sz w:val="24"/>
          <w:szCs w:val="24"/>
        </w:rPr>
        <w:t>2</w:t>
      </w:r>
      <w:r>
        <w:rPr>
          <w:rFonts w:hint="eastAsia" w:ascii="宋体" w:hAnsi="宋体" w:cs="宋体"/>
          <w:sz w:val="24"/>
          <w:szCs w:val="24"/>
        </w:rPr>
        <w:t>.</w:t>
      </w:r>
      <w:r>
        <w:rPr>
          <w:rFonts w:hint="eastAsia"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360" w:lineRule="auto"/>
        <w:ind w:firstLine="480" w:firstLineChars="200"/>
        <w:outlineLvl w:val="3"/>
        <w:rPr>
          <w:rFonts w:hAnsi="宋体" w:cs="宋体"/>
          <w:sz w:val="24"/>
          <w:szCs w:val="24"/>
        </w:rPr>
      </w:pPr>
      <w:r>
        <w:rPr>
          <w:rFonts w:hint="eastAsia" w:hAnsi="宋体" w:cs="宋体"/>
          <w:sz w:val="24"/>
          <w:szCs w:val="24"/>
        </w:rPr>
        <w:t>3</w:t>
      </w:r>
      <w:r>
        <w:rPr>
          <w:rFonts w:hint="eastAsia" w:ascii="宋体" w:hAnsi="宋体" w:cs="宋体"/>
          <w:sz w:val="24"/>
          <w:szCs w:val="24"/>
        </w:rPr>
        <w:t>.</w:t>
      </w:r>
      <w:r>
        <w:rPr>
          <w:rFonts w:hint="eastAsia" w:hAnsi="宋体" w:cs="宋体"/>
          <w:sz w:val="24"/>
          <w:szCs w:val="24"/>
        </w:rPr>
        <w:t>我公司已毫无保留地向贵方提供一切所需的证明材料。</w:t>
      </w:r>
    </w:p>
    <w:p>
      <w:pPr>
        <w:snapToGrid w:val="0"/>
        <w:spacing w:line="360" w:lineRule="auto"/>
        <w:ind w:firstLine="480" w:firstLineChars="200"/>
        <w:outlineLvl w:val="3"/>
        <w:rPr>
          <w:rFonts w:hAnsi="宋体" w:cs="宋体"/>
          <w:sz w:val="24"/>
          <w:szCs w:val="24"/>
        </w:rPr>
      </w:pPr>
      <w:r>
        <w:rPr>
          <w:rFonts w:hint="eastAsia" w:hAnsi="宋体" w:cs="宋体"/>
          <w:sz w:val="24"/>
          <w:szCs w:val="24"/>
        </w:rPr>
        <w:t>4</w:t>
      </w:r>
      <w:r>
        <w:rPr>
          <w:rFonts w:hint="eastAsia" w:ascii="宋体" w:hAnsi="宋体" w:cs="宋体"/>
          <w:sz w:val="24"/>
          <w:szCs w:val="24"/>
        </w:rPr>
        <w:t>.</w:t>
      </w:r>
      <w:r>
        <w:rPr>
          <w:rFonts w:hint="eastAsia"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360" w:lineRule="auto"/>
        <w:ind w:firstLine="480" w:firstLineChars="200"/>
        <w:outlineLvl w:val="3"/>
        <w:rPr>
          <w:rFonts w:hAnsi="宋体" w:cs="宋体"/>
          <w:b/>
          <w:sz w:val="24"/>
          <w:szCs w:val="24"/>
        </w:rPr>
      </w:pPr>
      <w:r>
        <w:rPr>
          <w:rFonts w:hint="eastAsia" w:hAnsi="宋体" w:cs="宋体"/>
          <w:sz w:val="24"/>
          <w:szCs w:val="24"/>
        </w:rPr>
        <w:t>5</w:t>
      </w:r>
      <w:r>
        <w:rPr>
          <w:rFonts w:hint="eastAsia" w:ascii="宋体" w:hAnsi="宋体" w:cs="宋体"/>
          <w:sz w:val="24"/>
          <w:szCs w:val="24"/>
        </w:rPr>
        <w:t>.</w:t>
      </w:r>
      <w:r>
        <w:rPr>
          <w:rFonts w:hint="eastAsia" w:hAnsi="宋体" w:cs="宋体"/>
          <w:b/>
          <w:sz w:val="24"/>
          <w:szCs w:val="24"/>
        </w:rPr>
        <w:t>我公司尊重磋商小组所作的评定结果。</w:t>
      </w:r>
    </w:p>
    <w:p>
      <w:pPr>
        <w:snapToGrid w:val="0"/>
        <w:spacing w:line="360" w:lineRule="auto"/>
        <w:ind w:firstLine="480" w:firstLineChars="200"/>
        <w:outlineLvl w:val="3"/>
        <w:rPr>
          <w:rFonts w:hAnsi="宋体" w:cs="宋体"/>
          <w:sz w:val="24"/>
          <w:szCs w:val="24"/>
        </w:rPr>
      </w:pPr>
      <w:r>
        <w:rPr>
          <w:rFonts w:hAnsi="宋体" w:cs="宋体"/>
          <w:sz w:val="24"/>
          <w:szCs w:val="24"/>
        </w:rPr>
        <w:t>6</w:t>
      </w:r>
      <w:r>
        <w:rPr>
          <w:rFonts w:hint="eastAsia" w:ascii="宋体" w:hAnsi="宋体" w:cs="宋体"/>
          <w:sz w:val="24"/>
          <w:szCs w:val="24"/>
        </w:rPr>
        <w:t>.</w:t>
      </w:r>
      <w:r>
        <w:rPr>
          <w:rFonts w:hint="eastAsia" w:hAnsi="宋体" w:cs="宋体"/>
          <w:sz w:val="24"/>
          <w:szCs w:val="24"/>
        </w:rPr>
        <w:t>一旦成交，我方承诺无正当理由拒绝签订合同，将被贵方取消成交资格，同意贵方将履约保证金作为违约金全额不予退还的处理。</w:t>
      </w:r>
    </w:p>
    <w:p>
      <w:pPr>
        <w:snapToGrid w:val="0"/>
        <w:spacing w:line="360" w:lineRule="auto"/>
        <w:ind w:firstLine="480" w:firstLineChars="200"/>
        <w:outlineLvl w:val="3"/>
        <w:rPr>
          <w:rFonts w:hAnsi="宋体" w:cs="宋体"/>
          <w:sz w:val="24"/>
          <w:szCs w:val="24"/>
        </w:rPr>
      </w:pPr>
      <w:r>
        <w:rPr>
          <w:rFonts w:hAnsi="宋体" w:cs="宋体"/>
          <w:sz w:val="24"/>
          <w:szCs w:val="24"/>
        </w:rPr>
        <w:t>7</w:t>
      </w:r>
      <w:r>
        <w:rPr>
          <w:rFonts w:hint="eastAsia" w:ascii="宋体" w:hAnsi="宋体" w:cs="宋体"/>
          <w:sz w:val="24"/>
          <w:szCs w:val="24"/>
        </w:rPr>
        <w:t>.</w:t>
      </w:r>
      <w:r>
        <w:rPr>
          <w:rFonts w:hint="eastAsia" w:hAnsi="宋体" w:cs="宋体"/>
          <w:b/>
          <w:sz w:val="24"/>
          <w:szCs w:val="24"/>
        </w:rPr>
        <w:t>一旦成交，我方将根据竞争性磋商文件的规定，严格履行合同规定的责任和义务，并保证在竞争性磋商文件中规定的时间期限内完成合同项目。</w:t>
      </w:r>
    </w:p>
    <w:p>
      <w:pPr>
        <w:snapToGrid w:val="0"/>
        <w:spacing w:line="360" w:lineRule="auto"/>
        <w:jc w:val="right"/>
        <w:outlineLvl w:val="3"/>
        <w:rPr>
          <w:rFonts w:hAnsi="宋体" w:cs="宋体"/>
          <w:sz w:val="24"/>
          <w:szCs w:val="24"/>
        </w:rPr>
      </w:pPr>
    </w:p>
    <w:p>
      <w:pPr>
        <w:pStyle w:val="20"/>
        <w:spacing w:line="360" w:lineRule="auto"/>
        <w:ind w:firstLine="420"/>
      </w:pPr>
    </w:p>
    <w:p>
      <w:pPr>
        <w:snapToGrid w:val="0"/>
        <w:spacing w:line="360" w:lineRule="auto"/>
        <w:jc w:val="center"/>
        <w:outlineLvl w:val="3"/>
        <w:rPr>
          <w:rFonts w:hAnsi="宋体" w:cs="宋体"/>
          <w:sz w:val="24"/>
          <w:szCs w:val="24"/>
        </w:rPr>
      </w:pPr>
      <w:r>
        <w:rPr>
          <w:rFonts w:hint="eastAsia" w:hAnsi="宋体" w:cs="宋体"/>
          <w:sz w:val="24"/>
          <w:szCs w:val="24"/>
        </w:rPr>
        <w:t xml:space="preserve">                   供应商（加盖公章）：</w:t>
      </w:r>
    </w:p>
    <w:p>
      <w:pPr>
        <w:snapToGrid w:val="0"/>
        <w:spacing w:line="360" w:lineRule="auto"/>
        <w:jc w:val="center"/>
        <w:outlineLvl w:val="3"/>
        <w:rPr>
          <w:rFonts w:hAnsi="宋体" w:cs="宋体"/>
          <w:sz w:val="24"/>
          <w:szCs w:val="24"/>
        </w:rPr>
      </w:pPr>
      <w:r>
        <w:rPr>
          <w:rFonts w:hint="eastAsia" w:hAnsi="宋体" w:cs="宋体"/>
          <w:sz w:val="24"/>
          <w:szCs w:val="24"/>
        </w:rPr>
        <w:t xml:space="preserve">                                   法定代表人或被授权人（签字或盖章）：</w:t>
      </w:r>
    </w:p>
    <w:p>
      <w:pPr>
        <w:snapToGrid w:val="0"/>
        <w:spacing w:line="360" w:lineRule="auto"/>
        <w:jc w:val="center"/>
        <w:outlineLvl w:val="3"/>
        <w:rPr>
          <w:rFonts w:hAnsi="宋体" w:cs="宋体"/>
          <w:sz w:val="24"/>
          <w:szCs w:val="24"/>
        </w:rPr>
      </w:pPr>
      <w:r>
        <w:rPr>
          <w:rFonts w:hint="eastAsia" w:hAnsi="宋体" w:cs="宋体"/>
          <w:sz w:val="24"/>
          <w:szCs w:val="24"/>
        </w:rPr>
        <w:t xml:space="preserve">                                            年      月     日</w:t>
      </w:r>
    </w:p>
    <w:p>
      <w:pPr>
        <w:snapToGrid w:val="0"/>
        <w:spacing w:line="360" w:lineRule="auto"/>
        <w:outlineLvl w:val="3"/>
        <w:rPr>
          <w:rFonts w:hAnsi="宋体" w:cs="宋体"/>
          <w:sz w:val="24"/>
          <w:szCs w:val="24"/>
        </w:rPr>
      </w:pPr>
    </w:p>
    <w:p>
      <w:pPr>
        <w:spacing w:line="420" w:lineRule="exact"/>
        <w:jc w:val="center"/>
        <w:outlineLvl w:val="3"/>
        <w:rPr>
          <w:rFonts w:ascii="宋体" w:hAnsi="宋体"/>
          <w:b/>
          <w:sz w:val="24"/>
          <w:szCs w:val="24"/>
        </w:rPr>
      </w:pPr>
      <w:r>
        <w:rPr>
          <w:rFonts w:hint="eastAsia" w:hAnsi="宋体" w:cs="宋体"/>
          <w:b/>
          <w:sz w:val="24"/>
          <w:szCs w:val="24"/>
        </w:rPr>
        <w:br w:type="page"/>
      </w:r>
    </w:p>
    <w:p>
      <w:pPr>
        <w:spacing w:line="420" w:lineRule="exact"/>
        <w:jc w:val="center"/>
        <w:rPr>
          <w:rFonts w:ascii="宋体" w:hAnsi="宋体"/>
          <w:b/>
          <w:sz w:val="24"/>
          <w:szCs w:val="24"/>
        </w:rPr>
      </w:pPr>
      <w:r>
        <w:rPr>
          <w:rFonts w:ascii="宋体" w:hAnsi="宋体"/>
          <w:b/>
          <w:sz w:val="24"/>
          <w:szCs w:val="24"/>
        </w:rPr>
        <w:t>7</w:t>
      </w:r>
      <w:r>
        <w:rPr>
          <w:rFonts w:hint="eastAsia" w:ascii="宋体" w:hAnsi="宋体"/>
          <w:b/>
          <w:sz w:val="24"/>
          <w:szCs w:val="24"/>
        </w:rPr>
        <w:t>.技术条款响应正负偏离表</w:t>
      </w:r>
    </w:p>
    <w:p>
      <w:pPr>
        <w:pStyle w:val="15"/>
      </w:pPr>
    </w:p>
    <w:p>
      <w:pPr>
        <w:spacing w:line="360" w:lineRule="auto"/>
        <w:ind w:firstLine="480" w:firstLineChars="200"/>
        <w:rPr>
          <w:rFonts w:ascii="宋体" w:hAnsi="宋体" w:cs="宋体"/>
          <w:sz w:val="24"/>
          <w:szCs w:val="24"/>
        </w:rPr>
      </w:pPr>
      <w:r>
        <w:rPr>
          <w:rFonts w:hint="eastAsia" w:ascii="宋体" w:hAnsi="宋体" w:cs="宋体"/>
          <w:sz w:val="24"/>
          <w:szCs w:val="24"/>
        </w:rPr>
        <w:t>供应商不能简单照搬照抄采购单位项目需求说明中的技术要求，必须作实事求是的响应：</w:t>
      </w:r>
    </w:p>
    <w:p>
      <w:pPr>
        <w:spacing w:line="360" w:lineRule="auto"/>
        <w:ind w:firstLine="480" w:firstLineChars="200"/>
        <w:rPr>
          <w:rFonts w:ascii="宋体" w:hAnsi="宋体" w:cs="宋体"/>
          <w:sz w:val="24"/>
          <w:szCs w:val="24"/>
        </w:rPr>
      </w:pPr>
      <w:r>
        <w:rPr>
          <w:rFonts w:hint="eastAsia" w:ascii="宋体" w:hAnsi="宋体" w:cs="宋体"/>
          <w:sz w:val="24"/>
          <w:szCs w:val="24"/>
        </w:rPr>
        <w:t>（1）照搬照抄项目需求说明中的技术要求，一旦成交中标，在与采购单位签订合同和履约环节中不得提出异议，一切后果和损失由成交人承担。</w:t>
      </w:r>
    </w:p>
    <w:p>
      <w:pPr>
        <w:spacing w:line="360" w:lineRule="auto"/>
        <w:ind w:firstLine="480" w:firstLineChars="200"/>
        <w:rPr>
          <w:rFonts w:ascii="宋体" w:hAnsi="宋体" w:cs="宋体"/>
          <w:sz w:val="24"/>
          <w:szCs w:val="24"/>
        </w:rPr>
      </w:pPr>
      <w:r>
        <w:rPr>
          <w:rFonts w:hint="eastAsia" w:ascii="宋体" w:hAnsi="宋体" w:cs="宋体"/>
          <w:sz w:val="24"/>
          <w:szCs w:val="24"/>
        </w:rPr>
        <w:t>（2）供应商提供的货物和服务与采购单位提出的项目需求说明中的技术要求不同，必须在逐一逐条响应的《技术条款响应正负偏离表》上明示偏离的部分。</w:t>
      </w:r>
    </w:p>
    <w:p>
      <w:pPr>
        <w:pStyle w:val="15"/>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416"/>
        <w:gridCol w:w="1701"/>
        <w:gridCol w:w="2268"/>
        <w:gridCol w:w="1363"/>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blHeader/>
        </w:trPr>
        <w:tc>
          <w:tcPr>
            <w:tcW w:w="743" w:type="dxa"/>
            <w:vAlign w:val="center"/>
          </w:tcPr>
          <w:p>
            <w:pPr>
              <w:spacing w:line="420" w:lineRule="exact"/>
              <w:jc w:val="center"/>
              <w:rPr>
                <w:rFonts w:ascii="宋体" w:hAnsi="宋体" w:cs="宋体"/>
                <w:sz w:val="24"/>
                <w:szCs w:val="24"/>
              </w:rPr>
            </w:pPr>
            <w:r>
              <w:rPr>
                <w:rFonts w:hint="eastAsia" w:ascii="宋体" w:hAnsi="宋体" w:cs="宋体"/>
                <w:sz w:val="24"/>
                <w:szCs w:val="24"/>
              </w:rPr>
              <w:t>序号</w:t>
            </w:r>
          </w:p>
        </w:tc>
        <w:tc>
          <w:tcPr>
            <w:tcW w:w="1243" w:type="dxa"/>
            <w:vAlign w:val="center"/>
          </w:tcPr>
          <w:p>
            <w:pPr>
              <w:spacing w:line="420" w:lineRule="exact"/>
              <w:jc w:val="center"/>
              <w:rPr>
                <w:rFonts w:ascii="宋体" w:hAnsi="宋体" w:cs="宋体"/>
                <w:sz w:val="24"/>
                <w:szCs w:val="24"/>
              </w:rPr>
            </w:pPr>
            <w:r>
              <w:rPr>
                <w:rFonts w:hint="eastAsia" w:ascii="宋体" w:hAnsi="宋体" w:cs="宋体"/>
                <w:sz w:val="24"/>
                <w:szCs w:val="24"/>
              </w:rPr>
              <w:t>货物名称</w:t>
            </w:r>
          </w:p>
        </w:tc>
        <w:tc>
          <w:tcPr>
            <w:tcW w:w="1416" w:type="dxa"/>
            <w:vAlign w:val="center"/>
          </w:tcPr>
          <w:p>
            <w:pPr>
              <w:spacing w:line="420" w:lineRule="exact"/>
              <w:jc w:val="center"/>
              <w:rPr>
                <w:rFonts w:ascii="宋体" w:hAnsi="宋体" w:cs="宋体"/>
                <w:sz w:val="24"/>
                <w:szCs w:val="24"/>
              </w:rPr>
            </w:pPr>
            <w:r>
              <w:rPr>
                <w:rFonts w:hint="eastAsia" w:ascii="宋体" w:hAnsi="宋体" w:cs="宋体"/>
                <w:sz w:val="24"/>
                <w:szCs w:val="24"/>
              </w:rPr>
              <w:t>品牌型号</w:t>
            </w:r>
          </w:p>
        </w:tc>
        <w:tc>
          <w:tcPr>
            <w:tcW w:w="1701" w:type="dxa"/>
            <w:vAlign w:val="center"/>
          </w:tcPr>
          <w:p>
            <w:pPr>
              <w:spacing w:line="420" w:lineRule="exact"/>
              <w:jc w:val="center"/>
              <w:rPr>
                <w:rFonts w:ascii="宋体" w:hAnsi="宋体" w:cs="宋体"/>
                <w:sz w:val="24"/>
                <w:szCs w:val="24"/>
              </w:rPr>
            </w:pPr>
            <w:r>
              <w:rPr>
                <w:rFonts w:hint="eastAsia" w:ascii="宋体" w:hAnsi="宋体" w:cs="宋体"/>
                <w:sz w:val="24"/>
                <w:szCs w:val="24"/>
              </w:rPr>
              <w:t>文件技术要求</w:t>
            </w:r>
          </w:p>
        </w:tc>
        <w:tc>
          <w:tcPr>
            <w:tcW w:w="2268" w:type="dxa"/>
            <w:vAlign w:val="center"/>
          </w:tcPr>
          <w:p>
            <w:pPr>
              <w:spacing w:line="420" w:lineRule="exact"/>
              <w:jc w:val="center"/>
              <w:rPr>
                <w:rFonts w:ascii="宋体" w:hAnsi="宋体" w:cs="宋体"/>
                <w:sz w:val="24"/>
                <w:szCs w:val="24"/>
              </w:rPr>
            </w:pPr>
            <w:r>
              <w:rPr>
                <w:rFonts w:hint="eastAsia" w:ascii="宋体" w:hAnsi="宋体" w:cs="宋体"/>
                <w:sz w:val="24"/>
                <w:szCs w:val="24"/>
              </w:rPr>
              <w:t>技术谈判响应要求</w:t>
            </w:r>
          </w:p>
        </w:tc>
        <w:tc>
          <w:tcPr>
            <w:tcW w:w="1363" w:type="dxa"/>
            <w:vAlign w:val="center"/>
          </w:tcPr>
          <w:p>
            <w:pPr>
              <w:spacing w:line="420" w:lineRule="exact"/>
              <w:jc w:val="center"/>
              <w:rPr>
                <w:rFonts w:ascii="宋体" w:hAnsi="宋体" w:cs="宋体"/>
                <w:sz w:val="24"/>
                <w:szCs w:val="24"/>
              </w:rPr>
            </w:pPr>
            <w:r>
              <w:rPr>
                <w:rFonts w:hint="eastAsia" w:ascii="宋体" w:hAnsi="宋体" w:cs="宋体"/>
                <w:sz w:val="24"/>
                <w:szCs w:val="24"/>
              </w:rPr>
              <w:t>偏离/响应</w:t>
            </w:r>
          </w:p>
        </w:tc>
        <w:tc>
          <w:tcPr>
            <w:tcW w:w="809" w:type="dxa"/>
            <w:vAlign w:val="center"/>
          </w:tcPr>
          <w:p>
            <w:pPr>
              <w:spacing w:line="420" w:lineRule="exact"/>
              <w:jc w:val="center"/>
              <w:rPr>
                <w:rFonts w:ascii="宋体" w:hAns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3" w:type="dxa"/>
          </w:tcPr>
          <w:p>
            <w:pPr>
              <w:spacing w:line="420" w:lineRule="exact"/>
              <w:jc w:val="center"/>
              <w:rPr>
                <w:rFonts w:ascii="宋体" w:hAnsi="宋体" w:cs="宋体"/>
                <w:sz w:val="24"/>
                <w:szCs w:val="24"/>
              </w:rPr>
            </w:pPr>
            <w:r>
              <w:rPr>
                <w:rFonts w:hint="eastAsia" w:ascii="宋体" w:hAnsi="宋体" w:cs="宋体"/>
                <w:sz w:val="24"/>
                <w:szCs w:val="24"/>
              </w:rPr>
              <w:t>1</w:t>
            </w:r>
          </w:p>
        </w:tc>
        <w:tc>
          <w:tcPr>
            <w:tcW w:w="1243" w:type="dxa"/>
            <w:vAlign w:val="center"/>
          </w:tcPr>
          <w:p>
            <w:pPr>
              <w:spacing w:line="420" w:lineRule="exact"/>
              <w:jc w:val="center"/>
              <w:rPr>
                <w:rFonts w:ascii="宋体" w:hAnsi="宋体" w:cs="宋体"/>
                <w:sz w:val="24"/>
                <w:szCs w:val="24"/>
              </w:rPr>
            </w:pPr>
          </w:p>
        </w:tc>
        <w:tc>
          <w:tcPr>
            <w:tcW w:w="1416" w:type="dxa"/>
            <w:vAlign w:val="center"/>
          </w:tcPr>
          <w:p>
            <w:pPr>
              <w:spacing w:line="420" w:lineRule="exact"/>
              <w:jc w:val="center"/>
              <w:rPr>
                <w:rFonts w:ascii="宋体" w:hAnsi="宋体" w:cs="宋体"/>
                <w:sz w:val="24"/>
                <w:szCs w:val="24"/>
              </w:rPr>
            </w:pPr>
          </w:p>
        </w:tc>
        <w:tc>
          <w:tcPr>
            <w:tcW w:w="1701" w:type="dxa"/>
            <w:vAlign w:val="center"/>
          </w:tcPr>
          <w:p>
            <w:pPr>
              <w:spacing w:line="420" w:lineRule="exact"/>
              <w:jc w:val="center"/>
              <w:rPr>
                <w:rFonts w:ascii="宋体" w:hAnsi="宋体" w:cs="宋体"/>
                <w:sz w:val="24"/>
                <w:szCs w:val="24"/>
              </w:rPr>
            </w:pPr>
          </w:p>
        </w:tc>
        <w:tc>
          <w:tcPr>
            <w:tcW w:w="2268" w:type="dxa"/>
            <w:vAlign w:val="center"/>
          </w:tcPr>
          <w:p>
            <w:pPr>
              <w:spacing w:line="420" w:lineRule="exact"/>
              <w:jc w:val="center"/>
              <w:rPr>
                <w:rFonts w:ascii="宋体" w:hAnsi="宋体" w:cs="宋体"/>
                <w:sz w:val="24"/>
                <w:szCs w:val="24"/>
              </w:rPr>
            </w:pPr>
          </w:p>
        </w:tc>
        <w:tc>
          <w:tcPr>
            <w:tcW w:w="1363" w:type="dxa"/>
            <w:vAlign w:val="center"/>
          </w:tcPr>
          <w:p>
            <w:pPr>
              <w:spacing w:line="420" w:lineRule="exact"/>
              <w:jc w:val="center"/>
              <w:rPr>
                <w:rFonts w:ascii="宋体" w:hAnsi="宋体" w:cs="宋体"/>
                <w:sz w:val="24"/>
                <w:szCs w:val="24"/>
              </w:rPr>
            </w:pPr>
          </w:p>
        </w:tc>
        <w:tc>
          <w:tcPr>
            <w:tcW w:w="809" w:type="dxa"/>
            <w:vAlign w:val="center"/>
          </w:tcPr>
          <w:p>
            <w:pPr>
              <w:spacing w:line="42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3" w:type="dxa"/>
          </w:tcPr>
          <w:p>
            <w:pPr>
              <w:spacing w:line="420" w:lineRule="exact"/>
              <w:jc w:val="center"/>
              <w:rPr>
                <w:rFonts w:ascii="宋体" w:hAnsi="宋体" w:cs="宋体"/>
                <w:sz w:val="24"/>
                <w:szCs w:val="24"/>
              </w:rPr>
            </w:pPr>
            <w:r>
              <w:rPr>
                <w:rFonts w:hint="eastAsia" w:ascii="宋体" w:hAnsi="宋体" w:cs="宋体"/>
                <w:sz w:val="24"/>
                <w:szCs w:val="24"/>
              </w:rPr>
              <w:t>2</w:t>
            </w:r>
          </w:p>
        </w:tc>
        <w:tc>
          <w:tcPr>
            <w:tcW w:w="1243" w:type="dxa"/>
            <w:vAlign w:val="center"/>
          </w:tcPr>
          <w:p>
            <w:pPr>
              <w:spacing w:line="420" w:lineRule="exact"/>
              <w:jc w:val="center"/>
              <w:rPr>
                <w:rFonts w:ascii="宋体" w:hAnsi="宋体" w:cs="宋体"/>
                <w:sz w:val="24"/>
                <w:szCs w:val="24"/>
              </w:rPr>
            </w:pPr>
          </w:p>
        </w:tc>
        <w:tc>
          <w:tcPr>
            <w:tcW w:w="1416" w:type="dxa"/>
            <w:vAlign w:val="center"/>
          </w:tcPr>
          <w:p>
            <w:pPr>
              <w:spacing w:line="420" w:lineRule="exact"/>
              <w:jc w:val="center"/>
              <w:rPr>
                <w:rFonts w:ascii="宋体" w:hAnsi="宋体" w:cs="宋体"/>
                <w:sz w:val="24"/>
                <w:szCs w:val="24"/>
              </w:rPr>
            </w:pPr>
          </w:p>
        </w:tc>
        <w:tc>
          <w:tcPr>
            <w:tcW w:w="1701" w:type="dxa"/>
            <w:vAlign w:val="center"/>
          </w:tcPr>
          <w:p>
            <w:pPr>
              <w:spacing w:line="420" w:lineRule="exact"/>
              <w:jc w:val="center"/>
              <w:rPr>
                <w:rFonts w:ascii="宋体" w:hAnsi="宋体" w:cs="宋体"/>
                <w:sz w:val="24"/>
                <w:szCs w:val="24"/>
              </w:rPr>
            </w:pPr>
          </w:p>
        </w:tc>
        <w:tc>
          <w:tcPr>
            <w:tcW w:w="2268" w:type="dxa"/>
            <w:vAlign w:val="center"/>
          </w:tcPr>
          <w:p>
            <w:pPr>
              <w:spacing w:line="420" w:lineRule="exact"/>
              <w:jc w:val="center"/>
              <w:rPr>
                <w:rFonts w:ascii="宋体" w:hAnsi="宋体" w:cs="宋体"/>
                <w:sz w:val="24"/>
                <w:szCs w:val="24"/>
              </w:rPr>
            </w:pPr>
          </w:p>
        </w:tc>
        <w:tc>
          <w:tcPr>
            <w:tcW w:w="1363" w:type="dxa"/>
            <w:vAlign w:val="center"/>
          </w:tcPr>
          <w:p>
            <w:pPr>
              <w:spacing w:line="420" w:lineRule="exact"/>
              <w:jc w:val="center"/>
              <w:rPr>
                <w:rFonts w:ascii="宋体" w:hAnsi="宋体" w:cs="宋体"/>
                <w:sz w:val="24"/>
                <w:szCs w:val="24"/>
              </w:rPr>
            </w:pPr>
          </w:p>
        </w:tc>
        <w:tc>
          <w:tcPr>
            <w:tcW w:w="809" w:type="dxa"/>
            <w:vAlign w:val="center"/>
          </w:tcPr>
          <w:p>
            <w:pPr>
              <w:spacing w:line="42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3" w:type="dxa"/>
          </w:tcPr>
          <w:p>
            <w:pPr>
              <w:spacing w:line="420" w:lineRule="exact"/>
              <w:jc w:val="center"/>
              <w:rPr>
                <w:rFonts w:ascii="宋体" w:hAnsi="宋体" w:cs="宋体"/>
                <w:sz w:val="24"/>
                <w:szCs w:val="24"/>
              </w:rPr>
            </w:pPr>
            <w:r>
              <w:rPr>
                <w:rFonts w:hint="eastAsia" w:ascii="宋体" w:hAnsi="宋体" w:cs="宋体"/>
                <w:sz w:val="24"/>
                <w:szCs w:val="24"/>
              </w:rPr>
              <w:t>3</w:t>
            </w:r>
          </w:p>
        </w:tc>
        <w:tc>
          <w:tcPr>
            <w:tcW w:w="1243" w:type="dxa"/>
            <w:vAlign w:val="center"/>
          </w:tcPr>
          <w:p>
            <w:pPr>
              <w:spacing w:line="420" w:lineRule="exact"/>
              <w:jc w:val="center"/>
              <w:rPr>
                <w:rFonts w:ascii="宋体" w:hAnsi="宋体" w:cs="宋体"/>
                <w:sz w:val="24"/>
                <w:szCs w:val="24"/>
              </w:rPr>
            </w:pPr>
          </w:p>
        </w:tc>
        <w:tc>
          <w:tcPr>
            <w:tcW w:w="1416" w:type="dxa"/>
            <w:vAlign w:val="center"/>
          </w:tcPr>
          <w:p>
            <w:pPr>
              <w:spacing w:line="420" w:lineRule="exact"/>
              <w:jc w:val="center"/>
              <w:rPr>
                <w:rFonts w:ascii="宋体" w:hAnsi="宋体" w:cs="宋体"/>
                <w:sz w:val="24"/>
                <w:szCs w:val="24"/>
              </w:rPr>
            </w:pPr>
          </w:p>
        </w:tc>
        <w:tc>
          <w:tcPr>
            <w:tcW w:w="1701" w:type="dxa"/>
            <w:vAlign w:val="center"/>
          </w:tcPr>
          <w:p>
            <w:pPr>
              <w:spacing w:line="420" w:lineRule="exact"/>
              <w:jc w:val="center"/>
              <w:rPr>
                <w:rFonts w:ascii="宋体" w:hAnsi="宋体" w:cs="宋体"/>
                <w:sz w:val="24"/>
                <w:szCs w:val="24"/>
              </w:rPr>
            </w:pPr>
          </w:p>
        </w:tc>
        <w:tc>
          <w:tcPr>
            <w:tcW w:w="2268" w:type="dxa"/>
            <w:vAlign w:val="center"/>
          </w:tcPr>
          <w:p>
            <w:pPr>
              <w:spacing w:line="420" w:lineRule="exact"/>
              <w:jc w:val="center"/>
              <w:rPr>
                <w:rFonts w:ascii="宋体" w:hAnsi="宋体" w:cs="宋体"/>
                <w:sz w:val="24"/>
                <w:szCs w:val="24"/>
              </w:rPr>
            </w:pPr>
          </w:p>
        </w:tc>
        <w:tc>
          <w:tcPr>
            <w:tcW w:w="1363" w:type="dxa"/>
            <w:vAlign w:val="center"/>
          </w:tcPr>
          <w:p>
            <w:pPr>
              <w:spacing w:line="420" w:lineRule="exact"/>
              <w:jc w:val="center"/>
              <w:rPr>
                <w:rFonts w:ascii="宋体" w:hAnsi="宋体" w:cs="宋体"/>
                <w:sz w:val="24"/>
                <w:szCs w:val="24"/>
              </w:rPr>
            </w:pPr>
          </w:p>
        </w:tc>
        <w:tc>
          <w:tcPr>
            <w:tcW w:w="809" w:type="dxa"/>
            <w:vAlign w:val="center"/>
          </w:tcPr>
          <w:p>
            <w:pPr>
              <w:spacing w:line="42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3" w:type="dxa"/>
          </w:tcPr>
          <w:p>
            <w:pPr>
              <w:spacing w:line="420" w:lineRule="exact"/>
              <w:jc w:val="center"/>
              <w:rPr>
                <w:rFonts w:ascii="宋体" w:hAnsi="宋体" w:cs="宋体"/>
                <w:sz w:val="24"/>
                <w:szCs w:val="24"/>
              </w:rPr>
            </w:pPr>
            <w:r>
              <w:rPr>
                <w:rFonts w:hint="eastAsia" w:ascii="宋体" w:hAnsi="宋体" w:cs="宋体"/>
                <w:sz w:val="24"/>
                <w:szCs w:val="24"/>
              </w:rPr>
              <w:t>……</w:t>
            </w:r>
          </w:p>
        </w:tc>
        <w:tc>
          <w:tcPr>
            <w:tcW w:w="1243" w:type="dxa"/>
            <w:vAlign w:val="center"/>
          </w:tcPr>
          <w:p>
            <w:pPr>
              <w:spacing w:line="420" w:lineRule="exact"/>
              <w:jc w:val="center"/>
              <w:rPr>
                <w:rFonts w:ascii="宋体" w:hAnsi="宋体" w:cs="宋体"/>
                <w:sz w:val="24"/>
                <w:szCs w:val="24"/>
              </w:rPr>
            </w:pPr>
          </w:p>
        </w:tc>
        <w:tc>
          <w:tcPr>
            <w:tcW w:w="1416" w:type="dxa"/>
            <w:vAlign w:val="center"/>
          </w:tcPr>
          <w:p>
            <w:pPr>
              <w:spacing w:line="420" w:lineRule="exact"/>
              <w:jc w:val="center"/>
              <w:rPr>
                <w:rFonts w:ascii="宋体" w:hAnsi="宋体" w:cs="宋体"/>
                <w:sz w:val="24"/>
                <w:szCs w:val="24"/>
              </w:rPr>
            </w:pPr>
          </w:p>
        </w:tc>
        <w:tc>
          <w:tcPr>
            <w:tcW w:w="1701" w:type="dxa"/>
            <w:vAlign w:val="center"/>
          </w:tcPr>
          <w:p>
            <w:pPr>
              <w:spacing w:line="420" w:lineRule="exact"/>
              <w:jc w:val="center"/>
              <w:rPr>
                <w:rFonts w:ascii="宋体" w:hAnsi="宋体" w:cs="宋体"/>
                <w:sz w:val="24"/>
                <w:szCs w:val="24"/>
              </w:rPr>
            </w:pPr>
          </w:p>
        </w:tc>
        <w:tc>
          <w:tcPr>
            <w:tcW w:w="2268" w:type="dxa"/>
            <w:vAlign w:val="center"/>
          </w:tcPr>
          <w:p>
            <w:pPr>
              <w:spacing w:line="420" w:lineRule="exact"/>
              <w:jc w:val="center"/>
              <w:rPr>
                <w:rFonts w:ascii="宋体" w:hAnsi="宋体" w:cs="宋体"/>
                <w:sz w:val="24"/>
                <w:szCs w:val="24"/>
              </w:rPr>
            </w:pPr>
          </w:p>
        </w:tc>
        <w:tc>
          <w:tcPr>
            <w:tcW w:w="1363" w:type="dxa"/>
            <w:vAlign w:val="center"/>
          </w:tcPr>
          <w:p>
            <w:pPr>
              <w:spacing w:line="420" w:lineRule="exact"/>
              <w:jc w:val="center"/>
              <w:rPr>
                <w:rFonts w:ascii="宋体" w:hAnsi="宋体" w:cs="宋体"/>
                <w:sz w:val="24"/>
                <w:szCs w:val="24"/>
              </w:rPr>
            </w:pPr>
          </w:p>
        </w:tc>
        <w:tc>
          <w:tcPr>
            <w:tcW w:w="809" w:type="dxa"/>
            <w:vAlign w:val="center"/>
          </w:tcPr>
          <w:p>
            <w:pPr>
              <w:spacing w:line="420" w:lineRule="exact"/>
              <w:jc w:val="center"/>
              <w:rPr>
                <w:rFonts w:ascii="宋体" w:hAnsi="宋体" w:cs="宋体"/>
                <w:sz w:val="24"/>
                <w:szCs w:val="24"/>
              </w:rPr>
            </w:pPr>
          </w:p>
        </w:tc>
      </w:tr>
    </w:tbl>
    <w:p>
      <w:pPr>
        <w:spacing w:line="420" w:lineRule="exact"/>
        <w:ind w:firstLine="484" w:firstLineChars="202"/>
        <w:rPr>
          <w:rFonts w:ascii="宋体" w:hAnsi="宋体" w:cs="宋体"/>
          <w:sz w:val="24"/>
          <w:szCs w:val="24"/>
        </w:rPr>
      </w:pPr>
      <w:r>
        <w:rPr>
          <w:rFonts w:hint="eastAsia" w:ascii="宋体" w:hAnsi="宋体" w:cs="宋体"/>
          <w:sz w:val="24"/>
          <w:szCs w:val="24"/>
        </w:rPr>
        <w:t>注：</w:t>
      </w:r>
    </w:p>
    <w:p>
      <w:pPr>
        <w:spacing w:line="420" w:lineRule="exact"/>
        <w:ind w:firstLine="484" w:firstLineChars="202"/>
        <w:rPr>
          <w:rFonts w:ascii="宋体" w:hAnsi="宋体" w:cs="宋体"/>
          <w:sz w:val="24"/>
          <w:szCs w:val="24"/>
        </w:rPr>
      </w:pPr>
      <w:r>
        <w:rPr>
          <w:rFonts w:hint="eastAsia" w:ascii="宋体" w:hAnsi="宋体" w:cs="宋体"/>
          <w:sz w:val="24"/>
          <w:szCs w:val="24"/>
        </w:rPr>
        <w:t>① 响应供应商应按磋商文件项目需求内的要求，逐条逐一填写，磋商响应货物与磋商文件规定的项目要求有偏离的，应在此表中申明与技术要求条文的正、负偏离，如有例外请说明。</w:t>
      </w:r>
    </w:p>
    <w:p>
      <w:pPr>
        <w:spacing w:line="420" w:lineRule="exact"/>
        <w:ind w:firstLine="484" w:firstLineChars="202"/>
        <w:rPr>
          <w:rFonts w:ascii="宋体" w:hAnsi="宋体" w:cs="宋体"/>
          <w:sz w:val="24"/>
          <w:szCs w:val="24"/>
        </w:rPr>
      </w:pPr>
      <w:r>
        <w:rPr>
          <w:rFonts w:hint="eastAsia" w:ascii="宋体" w:hAnsi="宋体" w:cs="宋体"/>
          <w:sz w:val="24"/>
          <w:szCs w:val="24"/>
        </w:rPr>
        <w:t>② 该表不作为响应供应商提供的竞标货物产品的技术要求等的详细描述和说明的替代。</w:t>
      </w:r>
    </w:p>
    <w:p>
      <w:pPr>
        <w:kinsoku w:val="0"/>
        <w:topLinePunct/>
        <w:snapToGrid w:val="0"/>
        <w:spacing w:line="360" w:lineRule="auto"/>
        <w:rPr>
          <w:rFonts w:hint="eastAsia" w:ascii="宋体" w:hAnsi="宋体" w:cs="宋体"/>
          <w:b/>
          <w:sz w:val="24"/>
          <w:szCs w:val="24"/>
          <w:u w:val="thick" w:color="FF0000"/>
          <w:lang w:val="en-US" w:eastAsia="zh-CN"/>
        </w:rPr>
      </w:pPr>
      <w:r>
        <w:rPr>
          <w:rFonts w:hint="eastAsia" w:ascii="宋体" w:hAnsi="宋体" w:cs="宋体"/>
          <w:b/>
          <w:sz w:val="24"/>
          <w:szCs w:val="24"/>
          <w:u w:val="thick" w:color="FF0000"/>
          <w:lang w:val="en-US" w:eastAsia="zh-CN"/>
        </w:rPr>
        <w:t xml:space="preserve"> </w:t>
      </w:r>
    </w:p>
    <w:p>
      <w:pPr>
        <w:kinsoku w:val="0"/>
        <w:topLinePunct/>
        <w:snapToGrid w:val="0"/>
        <w:spacing w:line="360" w:lineRule="auto"/>
        <w:rPr>
          <w:rFonts w:ascii="方正仿宋_GBK"/>
          <w:sz w:val="24"/>
          <w:szCs w:val="24"/>
        </w:rPr>
      </w:pPr>
      <w:r>
        <w:rPr>
          <w:rFonts w:hint="eastAsia" w:ascii="方正仿宋_GBK"/>
          <w:sz w:val="24"/>
          <w:szCs w:val="24"/>
        </w:rPr>
        <w:t>供应商</w:t>
      </w:r>
      <w:r>
        <w:rPr>
          <w:rFonts w:hint="eastAsia" w:hAnsi="宋体" w:cs="宋体"/>
          <w:sz w:val="24"/>
          <w:szCs w:val="24"/>
        </w:rPr>
        <w:t>（加盖公章）</w:t>
      </w:r>
      <w:r>
        <w:rPr>
          <w:rFonts w:hint="eastAsia" w:ascii="方正仿宋_GBK"/>
          <w:sz w:val="24"/>
          <w:szCs w:val="24"/>
        </w:rPr>
        <w:t xml:space="preserve">：             </w:t>
      </w:r>
    </w:p>
    <w:p>
      <w:pPr>
        <w:kinsoku w:val="0"/>
        <w:topLinePunct/>
        <w:snapToGrid w:val="0"/>
        <w:spacing w:line="360" w:lineRule="auto"/>
        <w:rPr>
          <w:rFonts w:ascii="方正仿宋_GBK"/>
          <w:sz w:val="24"/>
          <w:szCs w:val="24"/>
        </w:rPr>
      </w:pPr>
      <w:r>
        <w:rPr>
          <w:rFonts w:hint="eastAsia" w:ascii="方正仿宋_GBK"/>
          <w:sz w:val="24"/>
          <w:szCs w:val="24"/>
        </w:rPr>
        <w:t>法定代表人或被授权人（签字或盖章）：</w:t>
      </w:r>
    </w:p>
    <w:p>
      <w:pPr>
        <w:kinsoku w:val="0"/>
        <w:topLinePunct/>
        <w:snapToGrid w:val="0"/>
        <w:spacing w:line="360" w:lineRule="auto"/>
        <w:rPr>
          <w:rFonts w:ascii="方正仿宋_GBK"/>
          <w:sz w:val="24"/>
          <w:szCs w:val="24"/>
        </w:rPr>
      </w:pPr>
      <w:r>
        <w:rPr>
          <w:rFonts w:hint="eastAsia" w:ascii="方正仿宋_GBK"/>
          <w:sz w:val="24"/>
          <w:szCs w:val="24"/>
        </w:rPr>
        <w:t>日期：</w:t>
      </w:r>
    </w:p>
    <w:p>
      <w:pPr>
        <w:spacing w:line="420" w:lineRule="exact"/>
        <w:ind w:right="480" w:firstLine="3604" w:firstLineChars="1502"/>
        <w:rPr>
          <w:rFonts w:ascii="宋体" w:hAnsi="宋体" w:cs="宋体"/>
          <w:sz w:val="24"/>
          <w:szCs w:val="24"/>
        </w:rPr>
      </w:pPr>
    </w:p>
    <w:p>
      <w:pPr>
        <w:spacing w:line="420" w:lineRule="exact"/>
        <w:ind w:firstLine="487" w:firstLineChars="202"/>
        <w:jc w:val="center"/>
        <w:rPr>
          <w:rFonts w:ascii="宋体" w:hAnsi="宋体"/>
          <w:b/>
          <w:sz w:val="24"/>
          <w:szCs w:val="24"/>
        </w:rPr>
      </w:pPr>
    </w:p>
    <w:p>
      <w:pPr>
        <w:spacing w:line="420" w:lineRule="exact"/>
        <w:ind w:firstLine="487" w:firstLineChars="202"/>
        <w:jc w:val="center"/>
        <w:rPr>
          <w:rFonts w:ascii="宋体" w:hAnsi="宋体"/>
          <w:b/>
          <w:sz w:val="24"/>
          <w:szCs w:val="24"/>
        </w:rPr>
      </w:pPr>
      <w:r>
        <w:rPr>
          <w:rFonts w:ascii="宋体" w:hAnsi="宋体"/>
          <w:b/>
          <w:sz w:val="24"/>
          <w:szCs w:val="24"/>
        </w:rPr>
        <w:t>8.</w:t>
      </w:r>
      <w:r>
        <w:rPr>
          <w:rFonts w:hint="eastAsia" w:ascii="宋体" w:hAnsi="宋体"/>
          <w:b/>
          <w:sz w:val="24"/>
          <w:szCs w:val="24"/>
        </w:rPr>
        <w:t>根据第四章综合评分评审因素中得分点的要求提供的材料及其他材料。</w:t>
      </w:r>
    </w:p>
    <w:p>
      <w:pPr>
        <w:spacing w:line="420" w:lineRule="exact"/>
        <w:ind w:firstLine="424" w:firstLineChars="202"/>
        <w:jc w:val="center"/>
        <w:rPr>
          <w:rFonts w:ascii="宋体" w:hAnsi="宋体"/>
          <w:b/>
          <w:sz w:val="24"/>
          <w:szCs w:val="24"/>
        </w:rPr>
      </w:pPr>
      <w:r>
        <w:br w:type="page"/>
      </w:r>
      <w:r>
        <w:rPr>
          <w:rFonts w:ascii="宋体" w:hAnsi="宋体"/>
          <w:b/>
          <w:sz w:val="24"/>
          <w:szCs w:val="24"/>
        </w:rPr>
        <w:t>9</w:t>
      </w:r>
      <w:r>
        <w:rPr>
          <w:rFonts w:hint="eastAsia" w:ascii="宋体" w:hAnsi="宋体"/>
          <w:b/>
          <w:sz w:val="24"/>
          <w:szCs w:val="24"/>
        </w:rPr>
        <w:t>.磋商响应报价（首次）总表</w:t>
      </w:r>
    </w:p>
    <w:p>
      <w:pPr>
        <w:snapToGrid w:val="0"/>
        <w:spacing w:line="360" w:lineRule="auto"/>
        <w:jc w:val="left"/>
        <w:rPr>
          <w:rFonts w:ascii="宋体" w:hAnsi="宋体"/>
          <w:sz w:val="24"/>
          <w:szCs w:val="24"/>
        </w:rPr>
      </w:pPr>
    </w:p>
    <w:p>
      <w:pPr>
        <w:snapToGrid w:val="0"/>
        <w:spacing w:line="360" w:lineRule="auto"/>
        <w:jc w:val="left"/>
        <w:rPr>
          <w:rFonts w:hint="eastAsia" w:ascii="宋体" w:hAnsi="宋体" w:eastAsia="宋体"/>
          <w:sz w:val="24"/>
          <w:szCs w:val="24"/>
          <w:lang w:eastAsia="zh-CN"/>
        </w:rPr>
      </w:pPr>
      <w:r>
        <w:rPr>
          <w:rFonts w:hint="eastAsia" w:ascii="宋体" w:hAnsi="宋体"/>
          <w:sz w:val="24"/>
          <w:szCs w:val="24"/>
        </w:rPr>
        <w:t>项目名称：</w:t>
      </w:r>
      <w:r>
        <w:rPr>
          <w:rFonts w:hint="eastAsia" w:ascii="宋体" w:hAnsi="宋体"/>
          <w:sz w:val="24"/>
          <w:szCs w:val="24"/>
          <w:lang w:eastAsia="zh-CN"/>
        </w:rPr>
        <w:t>南通市计量检定测试所医用大型灭菌器灭菌效果物理参数检测系统采购项目</w:t>
      </w:r>
    </w:p>
    <w:tbl>
      <w:tblPr>
        <w:tblStyle w:val="2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4961"/>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tblHeader/>
        </w:trPr>
        <w:tc>
          <w:tcPr>
            <w:tcW w:w="2977"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jc w:val="center"/>
              <w:rPr>
                <w:rFonts w:ascii="黑体" w:hAnsi="黑体" w:eastAsia="黑体"/>
                <w:sz w:val="24"/>
                <w:szCs w:val="24"/>
              </w:rPr>
            </w:pPr>
            <w:r>
              <w:rPr>
                <w:rFonts w:hint="eastAsia" w:ascii="黑体" w:hAnsi="黑体" w:eastAsia="黑体"/>
                <w:sz w:val="24"/>
                <w:szCs w:val="24"/>
              </w:rPr>
              <w:t>项目名称</w:t>
            </w:r>
          </w:p>
        </w:tc>
        <w:tc>
          <w:tcPr>
            <w:tcW w:w="4961"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jc w:val="center"/>
              <w:rPr>
                <w:rFonts w:ascii="黑体" w:hAnsi="黑体" w:eastAsia="黑体"/>
                <w:sz w:val="24"/>
                <w:szCs w:val="24"/>
              </w:rPr>
            </w:pPr>
            <w:r>
              <w:rPr>
                <w:rFonts w:hint="eastAsia" w:ascii="黑体" w:hAnsi="黑体" w:eastAsia="黑体"/>
                <w:sz w:val="24"/>
                <w:szCs w:val="24"/>
              </w:rPr>
              <w:t>磋商响应报价（元）</w:t>
            </w:r>
          </w:p>
        </w:tc>
        <w:tc>
          <w:tcPr>
            <w:tcW w:w="198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jc w:val="center"/>
              <w:rPr>
                <w:rFonts w:ascii="黑体" w:hAnsi="黑体" w:eastAsia="黑体"/>
                <w:sz w:val="24"/>
                <w:szCs w:val="24"/>
              </w:rPr>
            </w:pPr>
            <w:r>
              <w:rPr>
                <w:rFonts w:hint="eastAsia" w:ascii="黑体" w:hAnsi="黑体" w:eastAsia="黑体"/>
                <w:sz w:val="24"/>
                <w:szCs w:val="24"/>
              </w:rPr>
              <w:t>项目完成时间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90" w:hRule="atLeast"/>
        </w:trPr>
        <w:tc>
          <w:tcPr>
            <w:tcW w:w="2977"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jc w:val="center"/>
              <w:rPr>
                <w:rFonts w:hint="eastAsia" w:ascii="仿宋_GB2312" w:hAnsi="宋体" w:eastAsia="仿宋_GB2312"/>
                <w:bCs/>
                <w:sz w:val="24"/>
                <w:szCs w:val="24"/>
                <w:lang w:eastAsia="zh-CN"/>
              </w:rPr>
            </w:pPr>
            <w:r>
              <w:rPr>
                <w:rFonts w:hint="eastAsia" w:ascii="宋体" w:hAnsi="宋体" w:eastAsia="仿宋_GB2312" w:cs="宋体"/>
                <w:sz w:val="24"/>
                <w:szCs w:val="24"/>
                <w:lang w:eastAsia="zh-CN"/>
              </w:rPr>
              <w:t>南通市计量检定测试所医用大型灭菌器灭菌效果物理参数检测系统采购项目</w:t>
            </w:r>
          </w:p>
        </w:tc>
        <w:tc>
          <w:tcPr>
            <w:tcW w:w="4961"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jc w:val="left"/>
              <w:rPr>
                <w:rFonts w:ascii="宋体" w:hAnsi="宋体"/>
                <w:sz w:val="24"/>
                <w:szCs w:val="24"/>
              </w:rPr>
            </w:pPr>
            <w:r>
              <w:rPr>
                <w:rFonts w:hint="eastAsia" w:ascii="宋体" w:hAnsi="宋体"/>
                <w:sz w:val="24"/>
                <w:szCs w:val="24"/>
              </w:rPr>
              <w:t>大写：</w:t>
            </w:r>
          </w:p>
          <w:p>
            <w:pPr>
              <w:pStyle w:val="20"/>
              <w:ind w:firstLine="420"/>
            </w:pPr>
          </w:p>
          <w:p>
            <w:pPr>
              <w:kinsoku w:val="0"/>
              <w:topLinePunct/>
              <w:snapToGrid w:val="0"/>
              <w:spacing w:line="420" w:lineRule="exact"/>
              <w:jc w:val="left"/>
              <w:rPr>
                <w:rFonts w:ascii="仿宋_GB2312" w:hAnsi="宋体" w:eastAsia="仿宋_GB2312"/>
                <w:sz w:val="24"/>
                <w:szCs w:val="24"/>
              </w:rPr>
            </w:pPr>
            <w:r>
              <w:rPr>
                <w:rFonts w:hint="eastAsia" w:ascii="宋体" w:hAnsi="宋体"/>
                <w:sz w:val="24"/>
                <w:szCs w:val="24"/>
              </w:rPr>
              <w:t>小写：</w:t>
            </w:r>
          </w:p>
        </w:tc>
        <w:tc>
          <w:tcPr>
            <w:tcW w:w="198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rPr>
                <w:rFonts w:ascii="仿宋_GB2312" w:hAnsi="宋体" w:eastAsia="仿宋_GB2312"/>
                <w:sz w:val="24"/>
                <w:szCs w:val="24"/>
              </w:rPr>
            </w:pPr>
            <w:r>
              <w:rPr>
                <w:rFonts w:hint="eastAsia" w:ascii="宋体" w:hAnsi="宋体"/>
                <w:sz w:val="24"/>
                <w:szCs w:val="24"/>
              </w:rPr>
              <w:t>完全响应磋商文件要求</w:t>
            </w:r>
          </w:p>
        </w:tc>
      </w:tr>
    </w:tbl>
    <w:p>
      <w:pPr>
        <w:kinsoku w:val="0"/>
        <w:topLinePunct/>
        <w:snapToGrid w:val="0"/>
        <w:spacing w:line="360" w:lineRule="auto"/>
        <w:rPr>
          <w:rFonts w:ascii="方正仿宋_GBK"/>
          <w:sz w:val="24"/>
          <w:szCs w:val="24"/>
        </w:rPr>
      </w:pPr>
    </w:p>
    <w:p>
      <w:pPr>
        <w:kinsoku w:val="0"/>
        <w:topLinePunct/>
        <w:snapToGrid w:val="0"/>
        <w:spacing w:line="360" w:lineRule="auto"/>
        <w:rPr>
          <w:rFonts w:ascii="方正仿宋_GBK"/>
          <w:sz w:val="24"/>
          <w:szCs w:val="24"/>
        </w:rPr>
      </w:pPr>
      <w:r>
        <w:rPr>
          <w:rFonts w:hint="eastAsia" w:ascii="方正仿宋_GBK"/>
          <w:sz w:val="24"/>
          <w:szCs w:val="24"/>
        </w:rPr>
        <w:t>供应商</w:t>
      </w:r>
      <w:r>
        <w:rPr>
          <w:rFonts w:hint="eastAsia" w:hAnsi="宋体" w:cs="宋体"/>
          <w:sz w:val="24"/>
          <w:szCs w:val="24"/>
        </w:rPr>
        <w:t>（加盖公章）</w:t>
      </w:r>
      <w:r>
        <w:rPr>
          <w:rFonts w:hint="eastAsia" w:ascii="方正仿宋_GBK"/>
          <w:sz w:val="24"/>
          <w:szCs w:val="24"/>
        </w:rPr>
        <w:t xml:space="preserve">：             </w:t>
      </w:r>
    </w:p>
    <w:p>
      <w:pPr>
        <w:kinsoku w:val="0"/>
        <w:topLinePunct/>
        <w:snapToGrid w:val="0"/>
        <w:spacing w:line="360" w:lineRule="auto"/>
        <w:rPr>
          <w:rFonts w:ascii="方正仿宋_GBK"/>
          <w:sz w:val="24"/>
          <w:szCs w:val="24"/>
        </w:rPr>
      </w:pPr>
      <w:r>
        <w:rPr>
          <w:rFonts w:hint="eastAsia" w:ascii="方正仿宋_GBK"/>
          <w:sz w:val="24"/>
          <w:szCs w:val="24"/>
        </w:rPr>
        <w:t>法定代表人或被授权人（签字或盖章）：</w:t>
      </w:r>
    </w:p>
    <w:p>
      <w:pPr>
        <w:kinsoku w:val="0"/>
        <w:topLinePunct/>
        <w:snapToGrid w:val="0"/>
        <w:spacing w:line="360" w:lineRule="auto"/>
        <w:rPr>
          <w:rFonts w:ascii="方正仿宋_GBK"/>
          <w:sz w:val="24"/>
          <w:szCs w:val="24"/>
        </w:rPr>
      </w:pPr>
      <w:r>
        <w:rPr>
          <w:rFonts w:hint="eastAsia" w:ascii="方正仿宋_GBK"/>
          <w:sz w:val="24"/>
          <w:szCs w:val="24"/>
        </w:rPr>
        <w:t>日期：</w:t>
      </w:r>
    </w:p>
    <w:p>
      <w:pPr>
        <w:snapToGrid w:val="0"/>
        <w:spacing w:line="360" w:lineRule="auto"/>
        <w:rPr>
          <w:rFonts w:ascii="宋体" w:hAnsi="宋体"/>
          <w:b/>
          <w:bCs/>
          <w:sz w:val="24"/>
          <w:szCs w:val="24"/>
        </w:rPr>
      </w:pPr>
    </w:p>
    <w:p>
      <w:pPr>
        <w:snapToGrid w:val="0"/>
        <w:spacing w:line="360" w:lineRule="auto"/>
        <w:rPr>
          <w:rFonts w:ascii="宋体" w:hAnsi="宋体"/>
          <w:sz w:val="24"/>
          <w:szCs w:val="24"/>
        </w:rPr>
      </w:pPr>
      <w:r>
        <w:rPr>
          <w:rFonts w:hint="eastAsia" w:ascii="宋体" w:hAnsi="宋体"/>
          <w:b/>
          <w:bCs/>
          <w:sz w:val="24"/>
          <w:szCs w:val="24"/>
        </w:rPr>
        <w:t>注：</w:t>
      </w:r>
      <w:r>
        <w:rPr>
          <w:rFonts w:hint="eastAsia" w:ascii="宋体" w:hAnsi="宋体"/>
          <w:sz w:val="24"/>
          <w:szCs w:val="24"/>
        </w:rPr>
        <w:t>（1）本表格式，不得自行改动。</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方正仿宋_GBK"/>
          <w:b/>
          <w:sz w:val="24"/>
          <w:szCs w:val="24"/>
        </w:rPr>
        <w:t>第二次（最终）报价将在开标后提供，响应文件密封提交时只需填写磋商报价总计（首次）。第二次报价（最终）时，磋商响应报价明细表按同比例下浮</w:t>
      </w:r>
      <w:r>
        <w:rPr>
          <w:rFonts w:hint="eastAsia" w:ascii="宋体" w:hAnsi="宋体"/>
          <w:sz w:val="24"/>
          <w:szCs w:val="24"/>
        </w:rPr>
        <w:t>。</w:t>
      </w:r>
    </w:p>
    <w:p>
      <w:pPr>
        <w:tabs>
          <w:tab w:val="center" w:pos="4153"/>
          <w:tab w:val="right" w:pos="8306"/>
        </w:tabs>
        <w:snapToGrid w:val="0"/>
        <w:spacing w:line="360" w:lineRule="auto"/>
        <w:ind w:firstLine="482" w:firstLineChars="200"/>
        <w:jc w:val="left"/>
        <w:rPr>
          <w:rFonts w:ascii="方正仿宋_GBK"/>
          <w:b/>
          <w:sz w:val="24"/>
          <w:szCs w:val="24"/>
        </w:rPr>
      </w:pPr>
      <w:r>
        <w:rPr>
          <w:rFonts w:hint="eastAsia" w:ascii="方正仿宋_GBK"/>
          <w:b/>
          <w:color w:val="FF0000"/>
          <w:sz w:val="24"/>
          <w:szCs w:val="24"/>
          <w:highlight w:val="yellow"/>
        </w:rPr>
        <w:t>（3）因本项目采用不见面开标方式，授权委托人必须在开评标期间内保持手机畅通，在二次（最终）报价时通过视频通话进行现场报价，并将经法定代表人或被授权人签字或盖章的二次（最终）报价表电子版扫描发给代理机构。</w:t>
      </w:r>
    </w:p>
    <w:p>
      <w:pPr>
        <w:pStyle w:val="2"/>
        <w:spacing w:before="164"/>
        <w:ind w:firstLine="602"/>
        <w:rPr>
          <w:rFonts w:ascii="方正仿宋_GBK"/>
          <w:b/>
          <w:color w:val="FF0000"/>
          <w:highlight w:val="yellow"/>
        </w:rPr>
      </w:pPr>
      <w:r>
        <w:rPr>
          <w:rFonts w:hint="eastAsia" w:ascii="方正仿宋_GBK"/>
          <w:b/>
          <w:color w:val="FF0000"/>
          <w:highlight w:val="yellow"/>
        </w:rPr>
        <w:t>（4）第二次（最终）报价表格式详见磋商文件第七章表1</w:t>
      </w:r>
      <w:r>
        <w:rPr>
          <w:rFonts w:ascii="方正仿宋_GBK"/>
          <w:b/>
          <w:color w:val="FF0000"/>
          <w:highlight w:val="yellow"/>
        </w:rPr>
        <w:t>1</w:t>
      </w:r>
      <w:r>
        <w:rPr>
          <w:rFonts w:hint="eastAsia" w:ascii="方正仿宋_GBK"/>
          <w:b/>
          <w:color w:val="FF0000"/>
          <w:highlight w:val="yellow"/>
        </w:rPr>
        <w:t>，供应商自行下载打印，用于开标当天填写。</w:t>
      </w:r>
    </w:p>
    <w:p>
      <w:pPr>
        <w:pStyle w:val="2"/>
        <w:spacing w:before="164"/>
        <w:ind w:firstLine="600"/>
      </w:pPr>
    </w:p>
    <w:p>
      <w:pPr>
        <w:pStyle w:val="20"/>
        <w:ind w:firstLine="420"/>
      </w:pPr>
    </w:p>
    <w:p>
      <w:pPr>
        <w:snapToGrid w:val="0"/>
        <w:spacing w:line="360" w:lineRule="auto"/>
        <w:jc w:val="center"/>
        <w:outlineLvl w:val="3"/>
        <w:rPr>
          <w:rFonts w:ascii="宋体" w:hAnsi="宋体"/>
          <w:b/>
          <w:sz w:val="24"/>
          <w:szCs w:val="24"/>
        </w:rPr>
      </w:pPr>
      <w:r>
        <w:rPr>
          <w:rFonts w:hint="eastAsia" w:ascii="宋体" w:hAnsi="宋体"/>
          <w:sz w:val="24"/>
          <w:szCs w:val="24"/>
        </w:rPr>
        <w:br w:type="page"/>
      </w:r>
      <w:r>
        <w:rPr>
          <w:rFonts w:ascii="宋体" w:hAnsi="宋体"/>
          <w:b/>
          <w:bCs/>
          <w:sz w:val="24"/>
          <w:szCs w:val="24"/>
        </w:rPr>
        <w:t>10</w:t>
      </w:r>
      <w:r>
        <w:rPr>
          <w:rFonts w:hint="eastAsia" w:ascii="宋体" w:hAnsi="宋体" w:cs="宋体"/>
          <w:b/>
          <w:bCs/>
          <w:sz w:val="24"/>
          <w:szCs w:val="24"/>
        </w:rPr>
        <w:t>.</w:t>
      </w:r>
      <w:r>
        <w:rPr>
          <w:rFonts w:hint="eastAsia" w:ascii="宋体" w:hAnsi="宋体"/>
          <w:b/>
          <w:bCs/>
          <w:sz w:val="24"/>
          <w:szCs w:val="24"/>
        </w:rPr>
        <w:t>磋</w:t>
      </w:r>
      <w:r>
        <w:rPr>
          <w:rFonts w:hint="eastAsia" w:ascii="宋体" w:hAnsi="宋体"/>
          <w:b/>
          <w:sz w:val="24"/>
          <w:szCs w:val="24"/>
        </w:rPr>
        <w:t>商响应报价明细表</w:t>
      </w:r>
    </w:p>
    <w:p>
      <w:pPr>
        <w:snapToGrid w:val="0"/>
        <w:spacing w:line="360" w:lineRule="auto"/>
        <w:jc w:val="left"/>
        <w:rPr>
          <w:rFonts w:hint="eastAsia" w:ascii="宋体" w:hAnsi="宋体" w:eastAsia="宋体"/>
          <w:sz w:val="24"/>
          <w:szCs w:val="24"/>
          <w:lang w:eastAsia="zh-CN"/>
        </w:rPr>
      </w:pPr>
      <w:r>
        <w:rPr>
          <w:rFonts w:hint="eastAsia" w:ascii="宋体" w:hAnsi="宋体"/>
          <w:sz w:val="24"/>
          <w:szCs w:val="24"/>
        </w:rPr>
        <w:t>项目名称：</w:t>
      </w:r>
      <w:r>
        <w:rPr>
          <w:rFonts w:hint="eastAsia" w:ascii="宋体" w:hAnsi="宋体"/>
          <w:sz w:val="24"/>
          <w:szCs w:val="24"/>
          <w:lang w:eastAsia="zh-CN"/>
        </w:rPr>
        <w:t>南通市计量检定测试所医用大型灭菌器灭菌效果物理参数检测系统采购项目</w:t>
      </w:r>
    </w:p>
    <w:tbl>
      <w:tblPr>
        <w:tblStyle w:val="21"/>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850"/>
        <w:gridCol w:w="851"/>
        <w:gridCol w:w="1417"/>
        <w:gridCol w:w="992"/>
        <w:gridCol w:w="851"/>
        <w:gridCol w:w="851"/>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9" w:type="dxa"/>
            <w:vAlign w:val="center"/>
          </w:tcPr>
          <w:p>
            <w:pPr>
              <w:snapToGrid w:val="0"/>
              <w:spacing w:line="420" w:lineRule="exact"/>
              <w:jc w:val="center"/>
              <w:rPr>
                <w:rFonts w:ascii="黑体" w:hAnsi="黑体" w:eastAsia="黑体"/>
                <w:bCs/>
                <w:sz w:val="24"/>
                <w:szCs w:val="24"/>
              </w:rPr>
            </w:pPr>
            <w:r>
              <w:rPr>
                <w:rFonts w:hint="eastAsia" w:ascii="黑体" w:hAnsi="黑体" w:eastAsia="黑体"/>
                <w:bCs/>
                <w:sz w:val="24"/>
                <w:szCs w:val="24"/>
              </w:rPr>
              <w:t>序号</w:t>
            </w:r>
          </w:p>
        </w:tc>
        <w:tc>
          <w:tcPr>
            <w:tcW w:w="1701" w:type="dxa"/>
            <w:gridSpan w:val="2"/>
            <w:vAlign w:val="center"/>
          </w:tcPr>
          <w:p>
            <w:pPr>
              <w:snapToGrid w:val="0"/>
              <w:spacing w:line="420" w:lineRule="exact"/>
              <w:jc w:val="center"/>
              <w:rPr>
                <w:rFonts w:ascii="黑体" w:hAnsi="黑体" w:eastAsia="黑体"/>
                <w:bCs/>
                <w:sz w:val="24"/>
                <w:szCs w:val="24"/>
              </w:rPr>
            </w:pPr>
            <w:r>
              <w:rPr>
                <w:rFonts w:hint="eastAsia" w:ascii="黑体" w:hAnsi="黑体" w:eastAsia="黑体"/>
                <w:bCs/>
                <w:sz w:val="24"/>
                <w:szCs w:val="24"/>
              </w:rPr>
              <w:t>设备名称</w:t>
            </w:r>
          </w:p>
        </w:tc>
        <w:tc>
          <w:tcPr>
            <w:tcW w:w="851" w:type="dxa"/>
            <w:vAlign w:val="center"/>
          </w:tcPr>
          <w:p>
            <w:pPr>
              <w:snapToGrid w:val="0"/>
              <w:spacing w:line="420" w:lineRule="exact"/>
              <w:jc w:val="center"/>
              <w:rPr>
                <w:rFonts w:ascii="黑体" w:hAnsi="黑体" w:eastAsia="黑体"/>
                <w:bCs/>
                <w:sz w:val="24"/>
                <w:szCs w:val="24"/>
              </w:rPr>
            </w:pPr>
            <w:r>
              <w:rPr>
                <w:rFonts w:hint="eastAsia" w:ascii="黑体" w:hAnsi="黑体" w:eastAsia="黑体"/>
                <w:bCs/>
                <w:sz w:val="24"/>
                <w:szCs w:val="24"/>
              </w:rPr>
              <w:t>型号规格</w:t>
            </w:r>
          </w:p>
        </w:tc>
        <w:tc>
          <w:tcPr>
            <w:tcW w:w="1417" w:type="dxa"/>
            <w:vAlign w:val="center"/>
          </w:tcPr>
          <w:p>
            <w:pPr>
              <w:snapToGrid w:val="0"/>
              <w:spacing w:line="420" w:lineRule="exact"/>
              <w:jc w:val="center"/>
              <w:rPr>
                <w:rFonts w:ascii="黑体" w:hAnsi="黑体" w:eastAsia="黑体"/>
                <w:bCs/>
                <w:sz w:val="24"/>
                <w:szCs w:val="24"/>
              </w:rPr>
            </w:pPr>
            <w:r>
              <w:rPr>
                <w:rFonts w:hint="eastAsia" w:ascii="黑体" w:hAnsi="黑体" w:eastAsia="黑体"/>
                <w:bCs/>
                <w:sz w:val="24"/>
                <w:szCs w:val="24"/>
              </w:rPr>
              <w:t>单位</w:t>
            </w:r>
          </w:p>
        </w:tc>
        <w:tc>
          <w:tcPr>
            <w:tcW w:w="992" w:type="dxa"/>
            <w:vAlign w:val="center"/>
          </w:tcPr>
          <w:p>
            <w:pPr>
              <w:snapToGrid w:val="0"/>
              <w:spacing w:line="420" w:lineRule="exact"/>
              <w:jc w:val="center"/>
              <w:rPr>
                <w:rFonts w:ascii="黑体" w:hAnsi="黑体" w:eastAsia="黑体"/>
                <w:bCs/>
                <w:sz w:val="24"/>
                <w:szCs w:val="24"/>
              </w:rPr>
            </w:pPr>
            <w:r>
              <w:rPr>
                <w:rFonts w:hint="eastAsia" w:ascii="黑体" w:hAnsi="黑体" w:eastAsia="黑体"/>
                <w:bCs/>
                <w:sz w:val="24"/>
                <w:szCs w:val="24"/>
              </w:rPr>
              <w:t>数量</w:t>
            </w:r>
          </w:p>
        </w:tc>
        <w:tc>
          <w:tcPr>
            <w:tcW w:w="851" w:type="dxa"/>
            <w:vAlign w:val="center"/>
          </w:tcPr>
          <w:p>
            <w:pPr>
              <w:snapToGrid w:val="0"/>
              <w:spacing w:line="420" w:lineRule="exact"/>
              <w:jc w:val="center"/>
              <w:rPr>
                <w:rFonts w:ascii="黑体" w:hAnsi="黑体" w:eastAsia="黑体"/>
                <w:bCs/>
                <w:sz w:val="24"/>
                <w:szCs w:val="24"/>
              </w:rPr>
            </w:pPr>
            <w:r>
              <w:rPr>
                <w:rFonts w:hint="eastAsia" w:ascii="黑体" w:hAnsi="黑体" w:eastAsia="黑体"/>
                <w:bCs/>
                <w:sz w:val="24"/>
                <w:szCs w:val="24"/>
              </w:rPr>
              <w:t>产地</w:t>
            </w:r>
          </w:p>
        </w:tc>
        <w:tc>
          <w:tcPr>
            <w:tcW w:w="851" w:type="dxa"/>
            <w:vAlign w:val="center"/>
          </w:tcPr>
          <w:p>
            <w:pPr>
              <w:snapToGrid w:val="0"/>
              <w:spacing w:line="420" w:lineRule="exact"/>
              <w:jc w:val="center"/>
              <w:rPr>
                <w:rFonts w:ascii="黑体" w:hAnsi="黑体" w:eastAsia="黑体"/>
                <w:bCs/>
                <w:sz w:val="24"/>
                <w:szCs w:val="24"/>
              </w:rPr>
            </w:pPr>
            <w:r>
              <w:rPr>
                <w:rFonts w:hint="eastAsia" w:ascii="黑体" w:hAnsi="黑体" w:eastAsia="黑体"/>
                <w:bCs/>
                <w:sz w:val="24"/>
                <w:szCs w:val="24"/>
              </w:rPr>
              <w:t>生产厂家</w:t>
            </w:r>
          </w:p>
        </w:tc>
        <w:tc>
          <w:tcPr>
            <w:tcW w:w="1559" w:type="dxa"/>
            <w:vAlign w:val="center"/>
          </w:tcPr>
          <w:p>
            <w:pPr>
              <w:snapToGrid w:val="0"/>
              <w:spacing w:line="420" w:lineRule="exact"/>
              <w:jc w:val="center"/>
              <w:rPr>
                <w:rFonts w:ascii="黑体" w:hAnsi="黑体" w:eastAsia="黑体"/>
                <w:bCs/>
                <w:sz w:val="24"/>
                <w:szCs w:val="24"/>
              </w:rPr>
            </w:pPr>
            <w:r>
              <w:rPr>
                <w:rFonts w:hint="eastAsia" w:ascii="黑体" w:hAnsi="黑体" w:eastAsia="黑体"/>
                <w:bCs/>
                <w:sz w:val="24"/>
                <w:szCs w:val="24"/>
              </w:rPr>
              <w:t>综合单价</w:t>
            </w:r>
          </w:p>
        </w:tc>
        <w:tc>
          <w:tcPr>
            <w:tcW w:w="1417" w:type="dxa"/>
            <w:vAlign w:val="center"/>
          </w:tcPr>
          <w:p>
            <w:pPr>
              <w:snapToGrid w:val="0"/>
              <w:spacing w:line="420" w:lineRule="exact"/>
              <w:jc w:val="center"/>
              <w:rPr>
                <w:rFonts w:ascii="黑体" w:hAnsi="黑体" w:eastAsia="黑体"/>
                <w:bCs/>
                <w:sz w:val="24"/>
                <w:szCs w:val="24"/>
              </w:rPr>
            </w:pPr>
            <w:r>
              <w:rPr>
                <w:rFonts w:hint="eastAsia" w:ascii="黑体" w:hAnsi="黑体" w:eastAsia="黑体"/>
                <w:bCs/>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9" w:type="dxa"/>
            <w:vAlign w:val="center"/>
          </w:tcPr>
          <w:p>
            <w:pPr>
              <w:snapToGrid w:val="0"/>
              <w:spacing w:line="420" w:lineRule="exact"/>
              <w:jc w:val="center"/>
              <w:rPr>
                <w:rFonts w:eastAsia="仿宋_GB2312"/>
                <w:bCs/>
                <w:sz w:val="24"/>
                <w:szCs w:val="24"/>
              </w:rPr>
            </w:pPr>
            <w:r>
              <w:rPr>
                <w:rFonts w:eastAsia="仿宋_GB2312"/>
                <w:bCs/>
                <w:sz w:val="24"/>
                <w:szCs w:val="24"/>
              </w:rPr>
              <w:t>1</w:t>
            </w:r>
          </w:p>
        </w:tc>
        <w:tc>
          <w:tcPr>
            <w:tcW w:w="1701" w:type="dxa"/>
            <w:gridSpan w:val="2"/>
            <w:vAlign w:val="center"/>
          </w:tcPr>
          <w:p>
            <w:pPr>
              <w:snapToGrid w:val="0"/>
              <w:spacing w:line="420" w:lineRule="exact"/>
              <w:rPr>
                <w:rFonts w:ascii="仿宋_GB2312" w:hAnsi="楷体" w:eastAsia="仿宋_GB2312"/>
                <w:sz w:val="24"/>
                <w:szCs w:val="24"/>
              </w:rPr>
            </w:pPr>
          </w:p>
        </w:tc>
        <w:tc>
          <w:tcPr>
            <w:tcW w:w="851" w:type="dxa"/>
            <w:vAlign w:val="center"/>
          </w:tcPr>
          <w:p>
            <w:pPr>
              <w:snapToGrid w:val="0"/>
              <w:spacing w:line="420" w:lineRule="exact"/>
              <w:rPr>
                <w:rFonts w:ascii="仿宋_GB2312" w:hAnsi="楷体" w:eastAsia="仿宋_GB2312"/>
                <w:sz w:val="24"/>
                <w:szCs w:val="24"/>
              </w:rPr>
            </w:pPr>
          </w:p>
        </w:tc>
        <w:tc>
          <w:tcPr>
            <w:tcW w:w="1417" w:type="dxa"/>
            <w:vAlign w:val="center"/>
          </w:tcPr>
          <w:p>
            <w:pPr>
              <w:snapToGrid w:val="0"/>
              <w:spacing w:line="420" w:lineRule="exact"/>
              <w:rPr>
                <w:rFonts w:ascii="仿宋_GB2312" w:hAnsi="楷体" w:eastAsia="仿宋_GB2312"/>
                <w:sz w:val="24"/>
                <w:szCs w:val="24"/>
              </w:rPr>
            </w:pPr>
          </w:p>
        </w:tc>
        <w:tc>
          <w:tcPr>
            <w:tcW w:w="992" w:type="dxa"/>
            <w:vAlign w:val="center"/>
          </w:tcPr>
          <w:p>
            <w:pPr>
              <w:snapToGrid w:val="0"/>
              <w:spacing w:line="420" w:lineRule="exact"/>
              <w:rPr>
                <w:rFonts w:ascii="仿宋_GB2312" w:hAnsi="楷体" w:eastAsia="仿宋_GB2312"/>
                <w:sz w:val="24"/>
                <w:szCs w:val="24"/>
              </w:rPr>
            </w:pPr>
          </w:p>
        </w:tc>
        <w:tc>
          <w:tcPr>
            <w:tcW w:w="851" w:type="dxa"/>
            <w:vAlign w:val="center"/>
          </w:tcPr>
          <w:p>
            <w:pPr>
              <w:snapToGrid w:val="0"/>
              <w:spacing w:line="420" w:lineRule="exact"/>
              <w:rPr>
                <w:rFonts w:ascii="仿宋_GB2312" w:hAnsi="楷体" w:eastAsia="仿宋_GB2312"/>
                <w:sz w:val="24"/>
                <w:szCs w:val="24"/>
              </w:rPr>
            </w:pPr>
          </w:p>
        </w:tc>
        <w:tc>
          <w:tcPr>
            <w:tcW w:w="851" w:type="dxa"/>
            <w:vAlign w:val="center"/>
          </w:tcPr>
          <w:p>
            <w:pPr>
              <w:snapToGrid w:val="0"/>
              <w:spacing w:line="420" w:lineRule="exact"/>
              <w:rPr>
                <w:rFonts w:ascii="仿宋_GB2312" w:hAnsi="楷体" w:eastAsia="仿宋_GB2312"/>
                <w:sz w:val="24"/>
                <w:szCs w:val="24"/>
              </w:rPr>
            </w:pPr>
          </w:p>
        </w:tc>
        <w:tc>
          <w:tcPr>
            <w:tcW w:w="1559" w:type="dxa"/>
            <w:vAlign w:val="center"/>
          </w:tcPr>
          <w:p>
            <w:pPr>
              <w:snapToGrid w:val="0"/>
              <w:spacing w:line="420" w:lineRule="exact"/>
              <w:rPr>
                <w:rFonts w:ascii="仿宋_GB2312" w:hAnsi="楷体" w:eastAsia="仿宋_GB2312"/>
                <w:sz w:val="24"/>
                <w:szCs w:val="24"/>
              </w:rPr>
            </w:pPr>
          </w:p>
        </w:tc>
        <w:tc>
          <w:tcPr>
            <w:tcW w:w="1417" w:type="dxa"/>
            <w:vAlign w:val="center"/>
          </w:tcPr>
          <w:p>
            <w:pPr>
              <w:snapToGrid w:val="0"/>
              <w:spacing w:line="420" w:lineRule="exac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9" w:type="dxa"/>
            <w:vAlign w:val="center"/>
          </w:tcPr>
          <w:p>
            <w:pPr>
              <w:snapToGrid w:val="0"/>
              <w:spacing w:line="420" w:lineRule="exact"/>
              <w:jc w:val="center"/>
              <w:rPr>
                <w:rFonts w:eastAsia="仿宋_GB2312"/>
                <w:bCs/>
                <w:sz w:val="24"/>
                <w:szCs w:val="24"/>
              </w:rPr>
            </w:pPr>
            <w:r>
              <w:rPr>
                <w:rFonts w:hint="eastAsia" w:eastAsia="仿宋_GB2312"/>
                <w:bCs/>
                <w:sz w:val="24"/>
                <w:szCs w:val="24"/>
              </w:rPr>
              <w:t>……</w:t>
            </w:r>
          </w:p>
        </w:tc>
        <w:tc>
          <w:tcPr>
            <w:tcW w:w="1701" w:type="dxa"/>
            <w:gridSpan w:val="2"/>
            <w:vAlign w:val="center"/>
          </w:tcPr>
          <w:p>
            <w:pPr>
              <w:snapToGrid w:val="0"/>
              <w:spacing w:line="420" w:lineRule="exact"/>
              <w:rPr>
                <w:rFonts w:ascii="仿宋_GB2312" w:hAnsi="楷体" w:eastAsia="仿宋_GB2312"/>
                <w:sz w:val="24"/>
                <w:szCs w:val="24"/>
              </w:rPr>
            </w:pPr>
          </w:p>
        </w:tc>
        <w:tc>
          <w:tcPr>
            <w:tcW w:w="851" w:type="dxa"/>
            <w:vAlign w:val="center"/>
          </w:tcPr>
          <w:p>
            <w:pPr>
              <w:snapToGrid w:val="0"/>
              <w:spacing w:line="420" w:lineRule="exact"/>
              <w:rPr>
                <w:rFonts w:ascii="仿宋_GB2312" w:hAnsi="楷体" w:eastAsia="仿宋_GB2312"/>
                <w:sz w:val="24"/>
                <w:szCs w:val="24"/>
              </w:rPr>
            </w:pPr>
          </w:p>
        </w:tc>
        <w:tc>
          <w:tcPr>
            <w:tcW w:w="1417" w:type="dxa"/>
            <w:vAlign w:val="center"/>
          </w:tcPr>
          <w:p>
            <w:pPr>
              <w:snapToGrid w:val="0"/>
              <w:spacing w:line="420" w:lineRule="exact"/>
              <w:rPr>
                <w:rFonts w:ascii="仿宋_GB2312" w:hAnsi="楷体" w:eastAsia="仿宋_GB2312"/>
                <w:sz w:val="24"/>
                <w:szCs w:val="24"/>
              </w:rPr>
            </w:pPr>
          </w:p>
        </w:tc>
        <w:tc>
          <w:tcPr>
            <w:tcW w:w="992" w:type="dxa"/>
            <w:vAlign w:val="center"/>
          </w:tcPr>
          <w:p>
            <w:pPr>
              <w:snapToGrid w:val="0"/>
              <w:spacing w:line="420" w:lineRule="exact"/>
              <w:rPr>
                <w:rFonts w:ascii="仿宋_GB2312" w:hAnsi="楷体" w:eastAsia="仿宋_GB2312"/>
                <w:sz w:val="24"/>
                <w:szCs w:val="24"/>
              </w:rPr>
            </w:pPr>
          </w:p>
        </w:tc>
        <w:tc>
          <w:tcPr>
            <w:tcW w:w="851" w:type="dxa"/>
            <w:vAlign w:val="center"/>
          </w:tcPr>
          <w:p>
            <w:pPr>
              <w:snapToGrid w:val="0"/>
              <w:spacing w:line="420" w:lineRule="exact"/>
              <w:rPr>
                <w:rFonts w:ascii="仿宋_GB2312" w:hAnsi="楷体" w:eastAsia="仿宋_GB2312"/>
                <w:sz w:val="24"/>
                <w:szCs w:val="24"/>
              </w:rPr>
            </w:pPr>
          </w:p>
        </w:tc>
        <w:tc>
          <w:tcPr>
            <w:tcW w:w="851" w:type="dxa"/>
            <w:vAlign w:val="center"/>
          </w:tcPr>
          <w:p>
            <w:pPr>
              <w:snapToGrid w:val="0"/>
              <w:spacing w:line="420" w:lineRule="exact"/>
              <w:rPr>
                <w:rFonts w:ascii="仿宋_GB2312" w:hAnsi="楷体" w:eastAsia="仿宋_GB2312"/>
                <w:sz w:val="24"/>
                <w:szCs w:val="24"/>
              </w:rPr>
            </w:pPr>
          </w:p>
        </w:tc>
        <w:tc>
          <w:tcPr>
            <w:tcW w:w="1559" w:type="dxa"/>
            <w:vAlign w:val="center"/>
          </w:tcPr>
          <w:p>
            <w:pPr>
              <w:snapToGrid w:val="0"/>
              <w:spacing w:line="420" w:lineRule="exact"/>
              <w:rPr>
                <w:rFonts w:ascii="仿宋_GB2312" w:hAnsi="楷体" w:eastAsia="仿宋_GB2312"/>
                <w:sz w:val="24"/>
                <w:szCs w:val="24"/>
              </w:rPr>
            </w:pPr>
          </w:p>
        </w:tc>
        <w:tc>
          <w:tcPr>
            <w:tcW w:w="1417" w:type="dxa"/>
            <w:vAlign w:val="center"/>
          </w:tcPr>
          <w:p>
            <w:pPr>
              <w:snapToGrid w:val="0"/>
              <w:spacing w:line="420" w:lineRule="exact"/>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9" w:type="dxa"/>
            <w:vAlign w:val="center"/>
          </w:tcPr>
          <w:p>
            <w:pPr>
              <w:snapToGrid w:val="0"/>
              <w:spacing w:line="420" w:lineRule="exact"/>
              <w:rPr>
                <w:rFonts w:ascii="仿宋_GB2312" w:hAnsi="楷体" w:eastAsia="仿宋_GB2312"/>
                <w:bCs/>
                <w:sz w:val="24"/>
                <w:szCs w:val="24"/>
              </w:rPr>
            </w:pPr>
            <w:r>
              <w:rPr>
                <w:rFonts w:hint="eastAsia" w:ascii="仿宋_GB2312" w:hAnsi="楷体" w:eastAsia="仿宋_GB2312"/>
                <w:bCs/>
                <w:sz w:val="24"/>
                <w:szCs w:val="24"/>
              </w:rPr>
              <w:t>合计</w:t>
            </w:r>
          </w:p>
        </w:tc>
        <w:tc>
          <w:tcPr>
            <w:tcW w:w="851" w:type="dxa"/>
            <w:vAlign w:val="center"/>
          </w:tcPr>
          <w:p>
            <w:pPr>
              <w:snapToGrid w:val="0"/>
              <w:spacing w:line="420" w:lineRule="exact"/>
              <w:rPr>
                <w:rFonts w:ascii="仿宋_GB2312" w:hAnsi="楷体" w:eastAsia="仿宋_GB2312"/>
                <w:sz w:val="24"/>
                <w:szCs w:val="24"/>
              </w:rPr>
            </w:pPr>
          </w:p>
        </w:tc>
        <w:tc>
          <w:tcPr>
            <w:tcW w:w="7371" w:type="dxa"/>
            <w:gridSpan w:val="7"/>
            <w:vAlign w:val="center"/>
          </w:tcPr>
          <w:p>
            <w:pPr>
              <w:snapToGrid w:val="0"/>
              <w:spacing w:line="420" w:lineRule="exact"/>
              <w:rPr>
                <w:rFonts w:ascii="仿宋_GB2312" w:hAnsi="楷体" w:eastAsia="仿宋_GB2312"/>
                <w:sz w:val="24"/>
                <w:szCs w:val="24"/>
              </w:rPr>
            </w:pPr>
          </w:p>
        </w:tc>
        <w:tc>
          <w:tcPr>
            <w:tcW w:w="1417" w:type="dxa"/>
            <w:vAlign w:val="center"/>
          </w:tcPr>
          <w:p>
            <w:pPr>
              <w:snapToGrid w:val="0"/>
              <w:spacing w:line="420" w:lineRule="exact"/>
              <w:rPr>
                <w:rFonts w:ascii="仿宋_GB2312" w:hAnsi="楷体" w:eastAsia="仿宋_GB2312"/>
                <w:sz w:val="24"/>
                <w:szCs w:val="24"/>
              </w:rPr>
            </w:pPr>
          </w:p>
        </w:tc>
      </w:tr>
    </w:tbl>
    <w:p>
      <w:pPr>
        <w:pStyle w:val="20"/>
        <w:ind w:left="0" w:leftChars="0" w:firstLine="0" w:firstLineChars="0"/>
        <w:rPr>
          <w:rFonts w:ascii="宋体" w:hAnsi="宋体"/>
          <w:sz w:val="24"/>
        </w:rPr>
      </w:pPr>
    </w:p>
    <w:p>
      <w:pPr>
        <w:kinsoku w:val="0"/>
        <w:topLinePunct/>
        <w:snapToGrid w:val="0"/>
        <w:spacing w:line="360" w:lineRule="auto"/>
        <w:rPr>
          <w:rFonts w:ascii="宋体" w:hAnsi="宋体"/>
          <w:sz w:val="24"/>
          <w:szCs w:val="24"/>
        </w:rPr>
      </w:pPr>
      <w:r>
        <w:rPr>
          <w:rFonts w:hint="eastAsia" w:ascii="宋体" w:hAnsi="宋体"/>
          <w:sz w:val="24"/>
          <w:szCs w:val="24"/>
        </w:rPr>
        <w:t xml:space="preserve">供应商：（盖章）             </w:t>
      </w:r>
    </w:p>
    <w:p>
      <w:pPr>
        <w:kinsoku w:val="0"/>
        <w:topLinePunct/>
        <w:snapToGrid w:val="0"/>
        <w:spacing w:line="360" w:lineRule="auto"/>
        <w:rPr>
          <w:rFonts w:ascii="宋体" w:hAnsi="宋体"/>
          <w:sz w:val="24"/>
          <w:szCs w:val="24"/>
        </w:rPr>
      </w:pPr>
      <w:r>
        <w:rPr>
          <w:rFonts w:hint="eastAsia" w:ascii="宋体" w:hAnsi="宋体"/>
          <w:sz w:val="24"/>
          <w:szCs w:val="24"/>
        </w:rPr>
        <w:t>法定代表人或授权委托人（签字）：</w:t>
      </w:r>
    </w:p>
    <w:p>
      <w:pPr>
        <w:kinsoku w:val="0"/>
        <w:topLinePunct/>
        <w:snapToGrid w:val="0"/>
        <w:spacing w:line="360" w:lineRule="auto"/>
        <w:rPr>
          <w:rFonts w:ascii="宋体" w:hAnsi="宋体"/>
          <w:sz w:val="24"/>
          <w:szCs w:val="24"/>
        </w:rPr>
      </w:pPr>
      <w:r>
        <w:rPr>
          <w:rFonts w:hint="eastAsia" w:ascii="宋体" w:hAnsi="宋体"/>
          <w:sz w:val="24"/>
          <w:szCs w:val="24"/>
        </w:rPr>
        <w:t>日期：</w:t>
      </w:r>
    </w:p>
    <w:p>
      <w:pPr>
        <w:snapToGrid w:val="0"/>
        <w:spacing w:line="360" w:lineRule="auto"/>
        <w:ind w:firstLine="494" w:firstLineChars="206"/>
        <w:rPr>
          <w:rFonts w:ascii="宋体" w:hAnsi="宋体"/>
          <w:sz w:val="24"/>
          <w:szCs w:val="24"/>
        </w:rPr>
      </w:pPr>
    </w:p>
    <w:p>
      <w:pPr>
        <w:snapToGrid w:val="0"/>
        <w:spacing w:line="360" w:lineRule="auto"/>
        <w:ind w:firstLine="494" w:firstLineChars="206"/>
        <w:rPr>
          <w:rFonts w:ascii="宋体" w:hAnsi="宋体"/>
          <w:sz w:val="24"/>
          <w:szCs w:val="24"/>
        </w:rPr>
      </w:pPr>
    </w:p>
    <w:p>
      <w:pPr>
        <w:snapToGrid w:val="0"/>
        <w:spacing w:line="360" w:lineRule="auto"/>
        <w:ind w:firstLine="494" w:firstLineChars="206"/>
        <w:rPr>
          <w:rFonts w:ascii="宋体" w:hAnsi="宋体"/>
          <w:sz w:val="24"/>
          <w:szCs w:val="24"/>
        </w:rPr>
      </w:pPr>
      <w:r>
        <w:rPr>
          <w:rFonts w:hint="eastAsia" w:ascii="宋体" w:hAnsi="宋体"/>
          <w:sz w:val="24"/>
          <w:szCs w:val="24"/>
        </w:rPr>
        <w:t>注：（1）</w:t>
      </w:r>
      <w:r>
        <w:rPr>
          <w:rFonts w:ascii="宋体" w:hAnsi="宋体"/>
          <w:sz w:val="24"/>
          <w:szCs w:val="24"/>
          <w:u w:val="thick" w:color="FF0000"/>
        </w:rPr>
        <w:t>本表</w:t>
      </w:r>
      <w:r>
        <w:rPr>
          <w:rFonts w:hint="eastAsia" w:ascii="宋体" w:hAnsi="宋体"/>
          <w:sz w:val="24"/>
          <w:szCs w:val="24"/>
          <w:u w:val="thick" w:color="FF0000"/>
        </w:rPr>
        <w:t>仅为表式</w:t>
      </w:r>
      <w:r>
        <w:rPr>
          <w:rFonts w:ascii="宋体" w:hAnsi="宋体"/>
          <w:sz w:val="24"/>
          <w:szCs w:val="24"/>
          <w:u w:val="thick" w:color="FF0000"/>
        </w:rPr>
        <w:t>，供应商须自行分析项目组成</w:t>
      </w:r>
      <w:r>
        <w:rPr>
          <w:rFonts w:hint="eastAsia" w:ascii="宋体" w:hAnsi="宋体"/>
          <w:sz w:val="24"/>
          <w:szCs w:val="24"/>
          <w:u w:val="thick" w:color="FF0000"/>
        </w:rPr>
        <w:t>，</w:t>
      </w:r>
      <w:r>
        <w:rPr>
          <w:rFonts w:ascii="宋体" w:hAnsi="宋体"/>
          <w:sz w:val="24"/>
          <w:szCs w:val="24"/>
          <w:u w:val="thick" w:color="FF0000"/>
        </w:rPr>
        <w:t>自行</w:t>
      </w:r>
      <w:r>
        <w:rPr>
          <w:rFonts w:hint="eastAsia" w:ascii="宋体" w:hAnsi="宋体"/>
          <w:sz w:val="24"/>
          <w:szCs w:val="24"/>
          <w:u w:val="thick" w:color="FF0000"/>
        </w:rPr>
        <w:t>添加内容</w:t>
      </w:r>
      <w:r>
        <w:rPr>
          <w:rFonts w:ascii="宋体" w:hAnsi="宋体"/>
          <w:sz w:val="24"/>
          <w:szCs w:val="24"/>
          <w:u w:val="thick" w:color="FF0000"/>
        </w:rPr>
        <w:t>。</w:t>
      </w: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32"/>
          <w:szCs w:val="32"/>
        </w:rPr>
      </w:pPr>
    </w:p>
    <w:p>
      <w:pPr>
        <w:snapToGrid w:val="0"/>
        <w:spacing w:line="360" w:lineRule="exact"/>
        <w:outlineLvl w:val="3"/>
        <w:rPr>
          <w:rFonts w:ascii="Calibri" w:hAnsi="Calibri" w:eastAsia="仿宋_GB2312"/>
          <w:b/>
          <w:sz w:val="32"/>
          <w:szCs w:val="32"/>
        </w:rPr>
      </w:pPr>
    </w:p>
    <w:p>
      <w:pPr>
        <w:snapToGrid w:val="0"/>
        <w:spacing w:line="360" w:lineRule="exact"/>
        <w:jc w:val="center"/>
        <w:outlineLvl w:val="3"/>
        <w:rPr>
          <w:rFonts w:ascii="Calibri" w:hAnsi="Calibri" w:eastAsia="仿宋_GB2312"/>
          <w:b/>
          <w:sz w:val="24"/>
          <w:szCs w:val="24"/>
        </w:rPr>
      </w:pPr>
      <w:r>
        <w:rPr>
          <w:rFonts w:hint="eastAsia" w:ascii="Calibri" w:hAnsi="Calibri" w:eastAsia="仿宋_GB2312"/>
          <w:b/>
          <w:sz w:val="32"/>
          <w:szCs w:val="32"/>
        </w:rPr>
        <w:t>1</w:t>
      </w:r>
      <w:r>
        <w:rPr>
          <w:rFonts w:ascii="Calibri" w:hAnsi="Calibri" w:eastAsia="仿宋_GB2312"/>
          <w:b/>
          <w:sz w:val="32"/>
          <w:szCs w:val="32"/>
        </w:rPr>
        <w:t>1</w:t>
      </w:r>
      <w:r>
        <w:rPr>
          <w:rFonts w:hint="eastAsia" w:ascii="Calibri" w:hAnsi="Calibri" w:eastAsia="仿宋_GB2312"/>
          <w:b/>
          <w:sz w:val="32"/>
          <w:szCs w:val="32"/>
        </w:rPr>
        <w:t>、磋商响应报价（最终）总表</w:t>
      </w:r>
    </w:p>
    <w:p>
      <w:pPr>
        <w:snapToGrid w:val="0"/>
        <w:spacing w:line="360" w:lineRule="exact"/>
        <w:ind w:left="1214" w:hanging="1214" w:hangingChars="506"/>
        <w:rPr>
          <w:rFonts w:ascii="仿宋_GB2312" w:hAnsi="宋体" w:eastAsia="仿宋_GB2312"/>
          <w:sz w:val="24"/>
          <w:szCs w:val="24"/>
        </w:rPr>
      </w:pPr>
    </w:p>
    <w:p>
      <w:pPr>
        <w:snapToGrid w:val="0"/>
        <w:spacing w:line="360" w:lineRule="exact"/>
        <w:ind w:left="1417" w:hanging="1416" w:hangingChars="506"/>
        <w:rPr>
          <w:rFonts w:hint="eastAsia" w:ascii="仿宋_GB2312" w:hAnsi="宋体" w:eastAsia="仿宋_GB2312"/>
          <w:sz w:val="28"/>
          <w:szCs w:val="28"/>
          <w:lang w:eastAsia="zh-CN"/>
        </w:rPr>
      </w:pPr>
      <w:r>
        <w:rPr>
          <w:rFonts w:hint="eastAsia" w:ascii="仿宋_GB2312" w:hAnsi="宋体" w:eastAsia="仿宋_GB2312"/>
          <w:sz w:val="28"/>
          <w:szCs w:val="28"/>
        </w:rPr>
        <w:t>项目名称：</w:t>
      </w:r>
      <w:r>
        <w:rPr>
          <w:rFonts w:hint="eastAsia" w:ascii="仿宋_GB2312" w:hAnsi="宋体" w:eastAsia="仿宋_GB2312"/>
          <w:sz w:val="28"/>
          <w:szCs w:val="28"/>
          <w:lang w:eastAsia="zh-CN"/>
        </w:rPr>
        <w:t>南通市计量检定测试所医用大型灭菌器灭菌效果物理参数检测系统采购项目</w:t>
      </w:r>
    </w:p>
    <w:p>
      <w:pPr>
        <w:snapToGrid w:val="0"/>
        <w:spacing w:line="360" w:lineRule="exact"/>
        <w:ind w:left="1417" w:hanging="1416" w:hangingChars="506"/>
        <w:rPr>
          <w:rFonts w:ascii="仿宋_GB2312" w:hAnsi="宋体" w:eastAsia="仿宋_GB2312"/>
          <w:sz w:val="28"/>
          <w:szCs w:val="28"/>
        </w:rPr>
      </w:pPr>
    </w:p>
    <w:p>
      <w:pPr>
        <w:snapToGrid w:val="0"/>
        <w:spacing w:line="360" w:lineRule="exact"/>
        <w:ind w:left="1518" w:hanging="1517" w:hangingChars="506"/>
        <w:rPr>
          <w:rFonts w:ascii="仿宋_GB2312" w:hAnsi="仿宋_GB2312" w:eastAsia="仿宋_GB2312" w:cs="仿宋_GB2312"/>
          <w:sz w:val="30"/>
          <w:szCs w:val="30"/>
        </w:rPr>
      </w:pPr>
    </w:p>
    <w:tbl>
      <w:tblPr>
        <w:tblStyle w:val="21"/>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0"/>
        <w:gridCol w:w="3033"/>
        <w:gridCol w:w="1740"/>
        <w:gridCol w:w="24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center"/>
              <w:textAlignment w:val="bottom"/>
              <w:rPr>
                <w:rFonts w:ascii="宋体" w:hAnsi="宋体" w:eastAsia="仿宋_GB2312"/>
                <w:bCs/>
                <w:kern w:val="0"/>
                <w:sz w:val="24"/>
                <w:szCs w:val="24"/>
                <w:lang w:eastAsia="en-US"/>
              </w:rPr>
            </w:pPr>
            <w:r>
              <w:rPr>
                <w:rFonts w:hint="eastAsia" w:ascii="宋体" w:hAnsi="宋体" w:eastAsia="仿宋_GB2312"/>
                <w:bCs/>
                <w:kern w:val="0"/>
                <w:sz w:val="24"/>
                <w:szCs w:val="24"/>
              </w:rPr>
              <w:t>项目名称</w:t>
            </w:r>
          </w:p>
        </w:tc>
        <w:tc>
          <w:tcPr>
            <w:tcW w:w="3033"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center"/>
              <w:textAlignment w:val="bottom"/>
              <w:rPr>
                <w:rFonts w:ascii="宋体" w:hAnsi="宋体" w:eastAsia="仿宋_GB2312"/>
                <w:bCs/>
                <w:kern w:val="0"/>
                <w:sz w:val="24"/>
                <w:szCs w:val="24"/>
              </w:rPr>
            </w:pPr>
            <w:r>
              <w:rPr>
                <w:rFonts w:hint="eastAsia" w:ascii="宋体" w:hAnsi="宋体" w:eastAsia="仿宋_GB2312"/>
                <w:bCs/>
                <w:kern w:val="0"/>
                <w:sz w:val="24"/>
                <w:szCs w:val="24"/>
              </w:rPr>
              <w:t>磋商响应报价（元）</w:t>
            </w:r>
          </w:p>
          <w:p>
            <w:pPr>
              <w:spacing w:line="360" w:lineRule="exact"/>
              <w:ind w:left="1" w:firstLine="26" w:firstLineChars="11"/>
              <w:jc w:val="center"/>
              <w:textAlignment w:val="bottom"/>
              <w:rPr>
                <w:rFonts w:ascii="宋体" w:hAnsi="宋体" w:eastAsia="仿宋_GB2312"/>
                <w:bCs/>
                <w:kern w:val="0"/>
                <w:sz w:val="24"/>
                <w:szCs w:val="24"/>
              </w:rPr>
            </w:pPr>
            <w:r>
              <w:rPr>
                <w:rFonts w:hint="eastAsia" w:ascii="宋体" w:hAnsi="宋体" w:eastAsia="仿宋_GB2312"/>
                <w:bCs/>
                <w:kern w:val="0"/>
                <w:sz w:val="24"/>
                <w:szCs w:val="24"/>
              </w:rPr>
              <w:t>（最终）</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center"/>
              <w:textAlignment w:val="bottom"/>
              <w:rPr>
                <w:rFonts w:ascii="宋体" w:hAnsi="宋体" w:eastAsia="仿宋_GB2312"/>
                <w:bCs/>
                <w:kern w:val="0"/>
                <w:sz w:val="24"/>
                <w:szCs w:val="24"/>
              </w:rPr>
            </w:pPr>
            <w:r>
              <w:rPr>
                <w:rFonts w:hint="eastAsia" w:ascii="宋体" w:hAnsi="宋体" w:eastAsia="仿宋_GB2312"/>
                <w:bCs/>
                <w:kern w:val="0"/>
                <w:sz w:val="24"/>
                <w:szCs w:val="24"/>
              </w:rPr>
              <w:t>项目完成时间</w:t>
            </w:r>
          </w:p>
        </w:tc>
        <w:tc>
          <w:tcPr>
            <w:tcW w:w="2456"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center"/>
              <w:textAlignment w:val="bottom"/>
              <w:rPr>
                <w:rFonts w:ascii="宋体" w:hAnsi="宋体" w:eastAsia="仿宋_GB2312"/>
                <w:bCs/>
                <w:kern w:val="0"/>
                <w:sz w:val="24"/>
                <w:szCs w:val="24"/>
              </w:rPr>
            </w:pPr>
            <w:r>
              <w:rPr>
                <w:rFonts w:hint="eastAsia" w:ascii="宋体" w:hAnsi="宋体" w:eastAsia="仿宋_GB2312"/>
                <w:bCs/>
                <w:kern w:val="0"/>
                <w:sz w:val="24"/>
                <w:szCs w:val="24"/>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5" w:hRule="atLeast"/>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ind w:left="1"/>
              <w:jc w:val="center"/>
              <w:textAlignment w:val="bottom"/>
              <w:rPr>
                <w:rFonts w:hint="eastAsia" w:ascii="宋体" w:hAnsi="宋体" w:eastAsia="仿宋_GB2312"/>
                <w:bCs/>
                <w:kern w:val="0"/>
                <w:sz w:val="24"/>
                <w:szCs w:val="24"/>
                <w:lang w:eastAsia="zh-CN"/>
              </w:rPr>
            </w:pPr>
            <w:r>
              <w:rPr>
                <w:rFonts w:hint="eastAsia" w:ascii="宋体" w:hAnsi="宋体" w:eastAsia="仿宋_GB2312"/>
                <w:bCs/>
                <w:kern w:val="0"/>
                <w:sz w:val="24"/>
                <w:szCs w:val="24"/>
                <w:lang w:eastAsia="zh-CN"/>
              </w:rPr>
              <w:t>南通市计量检定测试所医用大型灭菌器灭菌效果物理参数检测系统采购项目</w:t>
            </w:r>
          </w:p>
        </w:tc>
        <w:tc>
          <w:tcPr>
            <w:tcW w:w="3033"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left"/>
              <w:textAlignment w:val="bottom"/>
              <w:rPr>
                <w:rFonts w:ascii="宋体" w:hAnsi="宋体" w:eastAsia="仿宋_GB2312"/>
                <w:bCs/>
                <w:kern w:val="0"/>
                <w:sz w:val="24"/>
                <w:szCs w:val="24"/>
                <w:lang w:eastAsia="en-US"/>
              </w:rPr>
            </w:pPr>
            <w:r>
              <w:rPr>
                <w:rFonts w:hint="eastAsia" w:ascii="宋体" w:hAnsi="宋体" w:eastAsia="仿宋_GB2312"/>
                <w:bCs/>
                <w:kern w:val="0"/>
                <w:sz w:val="24"/>
                <w:szCs w:val="24"/>
              </w:rPr>
              <w:t>大写：</w:t>
            </w:r>
          </w:p>
          <w:p>
            <w:pPr>
              <w:spacing w:line="360" w:lineRule="exact"/>
              <w:ind w:left="1" w:firstLine="26" w:firstLineChars="11"/>
              <w:jc w:val="left"/>
              <w:textAlignment w:val="bottom"/>
              <w:rPr>
                <w:rFonts w:ascii="宋体" w:hAnsi="宋体" w:eastAsia="仿宋_GB2312"/>
                <w:bCs/>
                <w:kern w:val="0"/>
                <w:sz w:val="24"/>
                <w:szCs w:val="24"/>
              </w:rPr>
            </w:pPr>
          </w:p>
          <w:p>
            <w:pPr>
              <w:spacing w:line="360" w:lineRule="exact"/>
              <w:ind w:left="1" w:firstLine="26" w:firstLineChars="11"/>
              <w:jc w:val="left"/>
              <w:textAlignment w:val="bottom"/>
              <w:rPr>
                <w:rFonts w:ascii="宋体" w:hAnsi="宋体" w:eastAsia="仿宋_GB2312"/>
                <w:bCs/>
                <w:kern w:val="0"/>
                <w:sz w:val="24"/>
                <w:szCs w:val="24"/>
                <w:lang w:eastAsia="en-US"/>
              </w:rPr>
            </w:pPr>
            <w:r>
              <w:rPr>
                <w:rFonts w:hint="eastAsia" w:ascii="宋体" w:hAnsi="宋体" w:eastAsia="仿宋_GB2312"/>
                <w:bCs/>
                <w:kern w:val="0"/>
                <w:sz w:val="24"/>
                <w:szCs w:val="24"/>
              </w:rPr>
              <w:t>小写：</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center"/>
              <w:textAlignment w:val="bottom"/>
              <w:rPr>
                <w:rFonts w:ascii="宋体" w:hAnsi="宋体" w:eastAsia="仿宋_GB2312"/>
                <w:bCs/>
                <w:kern w:val="0"/>
                <w:sz w:val="24"/>
                <w:szCs w:val="24"/>
              </w:rPr>
            </w:pPr>
            <w:r>
              <w:rPr>
                <w:rFonts w:hint="eastAsia" w:ascii="宋体" w:hAnsi="宋体" w:eastAsia="仿宋_GB2312"/>
                <w:bCs/>
                <w:kern w:val="0"/>
                <w:sz w:val="24"/>
                <w:szCs w:val="24"/>
              </w:rPr>
              <w:t>完全响应招标文件要求的时间</w:t>
            </w:r>
          </w:p>
        </w:tc>
        <w:tc>
          <w:tcPr>
            <w:tcW w:w="2456" w:type="dxa"/>
            <w:tcBorders>
              <w:top w:val="single" w:color="auto" w:sz="4" w:space="0"/>
              <w:left w:val="single" w:color="auto" w:sz="4" w:space="0"/>
              <w:bottom w:val="single" w:color="auto" w:sz="4" w:space="0"/>
              <w:right w:val="single" w:color="auto" w:sz="4" w:space="0"/>
            </w:tcBorders>
            <w:vAlign w:val="center"/>
          </w:tcPr>
          <w:p>
            <w:pPr>
              <w:spacing w:line="360" w:lineRule="exact"/>
              <w:ind w:left="1"/>
              <w:jc w:val="center"/>
              <w:textAlignment w:val="bottom"/>
              <w:rPr>
                <w:rFonts w:ascii="宋体" w:hAnsi="宋体" w:eastAsia="仿宋_GB2312"/>
                <w:bCs/>
                <w:kern w:val="0"/>
                <w:sz w:val="24"/>
                <w:szCs w:val="24"/>
              </w:rPr>
            </w:pPr>
            <w:r>
              <w:rPr>
                <w:rFonts w:hint="eastAsia" w:ascii="宋体" w:hAnsi="宋体" w:eastAsia="仿宋_GB2312"/>
                <w:bCs/>
                <w:kern w:val="0"/>
                <w:sz w:val="24"/>
                <w:szCs w:val="24"/>
              </w:rPr>
              <w:t>完全响应招标文件要求的付款方式</w:t>
            </w:r>
          </w:p>
        </w:tc>
      </w:tr>
    </w:tbl>
    <w:p>
      <w:pPr>
        <w:kinsoku w:val="0"/>
        <w:topLinePunct/>
        <w:snapToGrid w:val="0"/>
        <w:spacing w:line="360" w:lineRule="exact"/>
        <w:rPr>
          <w:rFonts w:ascii="仿宋_GB2312" w:hAnsi="宋体" w:eastAsia="仿宋_GB2312"/>
          <w:szCs w:val="21"/>
        </w:rPr>
      </w:pPr>
    </w:p>
    <w:p>
      <w:pPr>
        <w:kinsoku w:val="0"/>
        <w:topLinePunct/>
        <w:snapToGrid w:val="0"/>
        <w:spacing w:line="360" w:lineRule="auto"/>
        <w:rPr>
          <w:rFonts w:ascii="仿宋_GB2312" w:hAnsi="宋体" w:eastAsia="仿宋_GB2312"/>
          <w:sz w:val="24"/>
          <w:szCs w:val="24"/>
        </w:rPr>
      </w:pPr>
      <w:r>
        <w:rPr>
          <w:rFonts w:hint="eastAsia" w:ascii="仿宋_GB2312" w:hAnsi="宋体" w:eastAsia="仿宋_GB2312"/>
          <w:sz w:val="24"/>
          <w:szCs w:val="24"/>
        </w:rPr>
        <w:t xml:space="preserve">磋商供应商：          </w:t>
      </w:r>
    </w:p>
    <w:p>
      <w:pPr>
        <w:kinsoku w:val="0"/>
        <w:topLinePunct/>
        <w:snapToGrid w:val="0"/>
        <w:spacing w:line="360" w:lineRule="auto"/>
        <w:rPr>
          <w:rFonts w:ascii="仿宋_GB2312" w:hAnsi="宋体" w:eastAsia="仿宋_GB2312"/>
          <w:sz w:val="24"/>
          <w:szCs w:val="24"/>
        </w:rPr>
      </w:pPr>
      <w:r>
        <w:rPr>
          <w:rFonts w:hint="eastAsia" w:ascii="仿宋_GB2312" w:hAnsi="宋体" w:eastAsia="仿宋_GB2312"/>
          <w:sz w:val="24"/>
          <w:szCs w:val="24"/>
        </w:rPr>
        <w:t>法定代表人或被委托授权人（签字）：</w:t>
      </w:r>
    </w:p>
    <w:p>
      <w:pPr>
        <w:kinsoku w:val="0"/>
        <w:topLinePunct/>
        <w:snapToGrid w:val="0"/>
        <w:spacing w:line="360" w:lineRule="auto"/>
        <w:rPr>
          <w:rFonts w:ascii="仿宋_GB2312" w:hAnsi="宋体" w:eastAsia="仿宋_GB2312"/>
          <w:sz w:val="24"/>
          <w:szCs w:val="24"/>
        </w:rPr>
      </w:pPr>
      <w:r>
        <w:rPr>
          <w:rFonts w:hint="eastAsia" w:ascii="仿宋_GB2312" w:hAnsi="宋体" w:eastAsia="仿宋_GB2312"/>
          <w:sz w:val="24"/>
          <w:szCs w:val="24"/>
        </w:rPr>
        <w:t>日期：</w:t>
      </w:r>
    </w:p>
    <w:p>
      <w:pPr>
        <w:snapToGrid w:val="0"/>
        <w:spacing w:line="360" w:lineRule="auto"/>
        <w:rPr>
          <w:rFonts w:hAnsi="宋体" w:cs="宋体"/>
          <w:bCs/>
          <w:sz w:val="24"/>
        </w:rPr>
      </w:pPr>
    </w:p>
    <w:p>
      <w:pPr>
        <w:pStyle w:val="2"/>
        <w:spacing w:before="164"/>
        <w:ind w:firstLine="600"/>
        <w:rPr>
          <w:rFonts w:hAnsi="宋体" w:cs="宋体"/>
          <w:bCs/>
        </w:rPr>
      </w:pPr>
    </w:p>
    <w:p>
      <w:pPr>
        <w:pStyle w:val="2"/>
        <w:spacing w:before="164"/>
        <w:ind w:firstLine="600"/>
        <w:rPr>
          <w:rFonts w:hAnsi="宋体" w:cs="宋体"/>
          <w:bCs/>
        </w:rPr>
      </w:pPr>
    </w:p>
    <w:p>
      <w:pPr>
        <w:pStyle w:val="2"/>
        <w:spacing w:before="164"/>
        <w:ind w:firstLine="600"/>
        <w:rPr>
          <w:rFonts w:hAnsi="宋体" w:cs="宋体"/>
          <w:bCs/>
        </w:rPr>
      </w:pPr>
    </w:p>
    <w:p>
      <w:pPr>
        <w:pStyle w:val="2"/>
        <w:spacing w:before="164"/>
        <w:ind w:firstLine="600"/>
        <w:rPr>
          <w:rFonts w:hAnsi="宋体" w:cs="宋体"/>
          <w:bCs/>
        </w:rPr>
      </w:pPr>
    </w:p>
    <w:p>
      <w:pPr>
        <w:pStyle w:val="2"/>
        <w:spacing w:before="164"/>
        <w:ind w:firstLine="600"/>
        <w:rPr>
          <w:rFonts w:hAnsi="宋体" w:cs="宋体"/>
          <w:bCs/>
        </w:rPr>
      </w:pPr>
    </w:p>
    <w:p>
      <w:pPr>
        <w:pStyle w:val="2"/>
        <w:spacing w:before="164"/>
        <w:ind w:firstLine="600"/>
        <w:rPr>
          <w:rFonts w:hAnsi="宋体" w:cs="宋体"/>
          <w:bCs/>
        </w:rPr>
      </w:pPr>
    </w:p>
    <w:p>
      <w:pPr>
        <w:pStyle w:val="2"/>
        <w:spacing w:before="164"/>
        <w:ind w:firstLine="600"/>
        <w:rPr>
          <w:rFonts w:hAnsi="宋体" w:cs="宋体"/>
          <w:bCs/>
        </w:rPr>
      </w:pPr>
    </w:p>
    <w:p>
      <w:pPr>
        <w:pStyle w:val="2"/>
        <w:spacing w:before="164"/>
        <w:ind w:firstLine="600"/>
        <w:rPr>
          <w:rFonts w:hAnsi="宋体" w:cs="宋体"/>
          <w:bCs/>
        </w:rPr>
      </w:pPr>
    </w:p>
    <w:p>
      <w:pPr>
        <w:pStyle w:val="2"/>
        <w:spacing w:before="164"/>
        <w:ind w:firstLine="600"/>
        <w:rPr>
          <w:rFonts w:hAnsi="宋体" w:cs="宋体"/>
          <w:bCs/>
        </w:rPr>
      </w:pPr>
    </w:p>
    <w:p>
      <w:pPr>
        <w:pStyle w:val="2"/>
        <w:spacing w:before="164"/>
        <w:ind w:firstLine="600"/>
        <w:rPr>
          <w:rFonts w:hAnsi="宋体" w:cs="宋体"/>
          <w:bCs/>
        </w:rPr>
      </w:pPr>
    </w:p>
    <w:p>
      <w:pPr>
        <w:pStyle w:val="2"/>
        <w:spacing w:before="164"/>
        <w:ind w:firstLine="600"/>
        <w:rPr>
          <w:rFonts w:hAnsi="宋体" w:cs="宋体"/>
          <w:bCs/>
        </w:rPr>
      </w:pPr>
    </w:p>
    <w:p>
      <w:pPr>
        <w:pStyle w:val="2"/>
        <w:spacing w:before="164"/>
        <w:ind w:firstLine="600"/>
        <w:rPr>
          <w:rFonts w:hAnsi="宋体" w:cs="宋体"/>
          <w:bCs/>
        </w:rPr>
      </w:pPr>
    </w:p>
    <w:p>
      <w:pPr>
        <w:pStyle w:val="2"/>
        <w:spacing w:before="164"/>
        <w:ind w:firstLine="600"/>
        <w:rPr>
          <w:rFonts w:hAnsi="宋体" w:cs="宋体"/>
          <w:bCs/>
        </w:rPr>
      </w:pPr>
    </w:p>
    <w:p>
      <w:pPr>
        <w:pStyle w:val="2"/>
        <w:spacing w:before="164"/>
        <w:ind w:firstLine="600"/>
        <w:rPr>
          <w:rFonts w:hAnsi="宋体" w:cs="宋体"/>
          <w:bCs/>
        </w:rPr>
      </w:pPr>
    </w:p>
    <w:p>
      <w:pPr>
        <w:widowControl/>
        <w:jc w:val="center"/>
        <w:rPr>
          <w:rFonts w:hAnsi="宋体" w:cs="宋体"/>
          <w:color w:val="000000"/>
          <w:sz w:val="24"/>
        </w:rPr>
      </w:pPr>
      <w:r>
        <w:rPr>
          <w:rFonts w:hint="eastAsia" w:ascii="宋体" w:hAnsi="宋体" w:cs="宋体"/>
          <w:b/>
          <w:bCs/>
          <w:kern w:val="0"/>
          <w:sz w:val="36"/>
          <w:szCs w:val="36"/>
        </w:rPr>
        <w:t>中小企业声明函</w:t>
      </w:r>
    </w:p>
    <w:p>
      <w:pPr>
        <w:snapToGrid w:val="0"/>
        <w:spacing w:line="360" w:lineRule="exact"/>
        <w:jc w:val="center"/>
        <w:outlineLvl w:val="3"/>
        <w:rPr>
          <w:rFonts w:ascii="Calibri" w:hAnsi="Calibri" w:eastAsia="仿宋_GB2312"/>
          <w:b/>
          <w:sz w:val="32"/>
          <w:szCs w:val="32"/>
        </w:rPr>
      </w:pPr>
    </w:p>
    <w:p>
      <w:pPr>
        <w:widowControl/>
        <w:spacing w:line="480" w:lineRule="exact"/>
        <w:ind w:firstLine="480" w:firstLineChars="200"/>
        <w:jc w:val="left"/>
        <w:rPr>
          <w:rFonts w:ascii="宋体" w:hAnsi="宋体" w:cs="宋体"/>
          <w:sz w:val="24"/>
          <w:szCs w:val="24"/>
        </w:rPr>
      </w:pPr>
      <w:r>
        <w:rPr>
          <w:rFonts w:hint="eastAsia" w:ascii="宋体" w:hAnsi="宋体" w:cs="宋体"/>
          <w:kern w:val="0"/>
          <w:sz w:val="24"/>
          <w:szCs w:val="24"/>
        </w:rPr>
        <w:t>本公司（联合体）郑重声明，根据《政府采购促进中小 企业发展管理办法》（财库﹝2020﹞46 号）的规定，本公司 （联合体）参加</w:t>
      </w:r>
      <w:r>
        <w:rPr>
          <w:rFonts w:hint="eastAsia" w:ascii="宋体" w:hAnsi="宋体" w:cs="宋体"/>
          <w:kern w:val="0"/>
          <w:sz w:val="24"/>
          <w:szCs w:val="24"/>
          <w:u w:val="single"/>
        </w:rPr>
        <w:t>（单位名称）</w:t>
      </w:r>
      <w:r>
        <w:rPr>
          <w:rFonts w:hint="eastAsia" w:ascii="宋体" w:hAnsi="宋体" w:cs="宋体"/>
          <w:kern w:val="0"/>
          <w:sz w:val="24"/>
          <w:szCs w:val="24"/>
        </w:rPr>
        <w:t>的</w:t>
      </w:r>
      <w:r>
        <w:rPr>
          <w:rFonts w:hint="eastAsia" w:ascii="宋体" w:hAnsi="宋体" w:cs="宋体"/>
          <w:kern w:val="0"/>
          <w:sz w:val="24"/>
          <w:szCs w:val="24"/>
          <w:u w:val="single"/>
        </w:rPr>
        <w:t>（项目名称）</w:t>
      </w:r>
      <w:r>
        <w:rPr>
          <w:rFonts w:hint="eastAsia" w:ascii="宋体" w:hAnsi="宋体" w:cs="宋体"/>
          <w:kern w:val="0"/>
          <w:sz w:val="24"/>
          <w:szCs w:val="24"/>
        </w:rPr>
        <w:t xml:space="preserve">采购活动，提供的货物全部由符合政策要求的中小企业制造。相关企业（含联合体中的中小企业、签订分包意向协议的中小企业） 的具体情况如下： </w:t>
      </w:r>
    </w:p>
    <w:p>
      <w:pPr>
        <w:widowControl/>
        <w:spacing w:line="480" w:lineRule="exact"/>
        <w:ind w:firstLine="480" w:firstLineChars="200"/>
        <w:jc w:val="left"/>
        <w:rPr>
          <w:rFonts w:ascii="宋体" w:hAnsi="宋体" w:cs="宋体"/>
          <w:sz w:val="24"/>
          <w:szCs w:val="24"/>
        </w:rPr>
      </w:pPr>
      <w:r>
        <w:rPr>
          <w:rFonts w:hint="eastAsia" w:ascii="宋体" w:hAnsi="宋体" w:cs="宋体"/>
          <w:kern w:val="0"/>
          <w:sz w:val="24"/>
          <w:szCs w:val="24"/>
        </w:rPr>
        <w:t>1.</w:t>
      </w:r>
      <w:r>
        <w:rPr>
          <w:rFonts w:hint="eastAsia" w:ascii="宋体" w:hAnsi="宋体" w:cs="宋体"/>
          <w:kern w:val="0"/>
          <w:sz w:val="24"/>
          <w:szCs w:val="24"/>
          <w:u w:val="single"/>
        </w:rPr>
        <w:t>（标的名称）</w:t>
      </w:r>
      <w:r>
        <w:rPr>
          <w:rFonts w:hint="eastAsia" w:ascii="宋体" w:hAnsi="宋体" w:cs="宋体"/>
          <w:kern w:val="0"/>
          <w:sz w:val="24"/>
          <w:szCs w:val="24"/>
        </w:rPr>
        <w:t xml:space="preserve"> ，属于</w:t>
      </w:r>
      <w:r>
        <w:rPr>
          <w:rFonts w:hint="eastAsia" w:ascii="宋体" w:hAnsi="宋体" w:cs="宋体"/>
          <w:kern w:val="0"/>
          <w:sz w:val="24"/>
          <w:szCs w:val="24"/>
          <w:u w:val="single"/>
        </w:rPr>
        <w:t>（采购文件中明确的所属行业）</w:t>
      </w:r>
      <w:r>
        <w:rPr>
          <w:rFonts w:hint="eastAsia" w:ascii="宋体" w:hAnsi="宋体" w:cs="宋体"/>
          <w:kern w:val="0"/>
          <w:sz w:val="24"/>
          <w:szCs w:val="24"/>
        </w:rPr>
        <w:t>行业；制造商为</w:t>
      </w:r>
      <w:r>
        <w:rPr>
          <w:rFonts w:hint="eastAsia" w:ascii="宋体" w:hAnsi="宋体" w:cs="宋体"/>
          <w:kern w:val="0"/>
          <w:sz w:val="24"/>
          <w:szCs w:val="24"/>
          <w:u w:val="single"/>
        </w:rPr>
        <w:t>（企业名称）</w:t>
      </w:r>
      <w:r>
        <w:rPr>
          <w:rFonts w:hint="eastAsia" w:ascii="宋体" w:hAnsi="宋体" w:cs="宋体"/>
          <w:kern w:val="0"/>
          <w:sz w:val="24"/>
          <w:szCs w:val="24"/>
        </w:rPr>
        <w:t>，从业人员人，营业收入为万元，资产总额为万元，属于</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 xml:space="preserve">； </w:t>
      </w:r>
    </w:p>
    <w:p>
      <w:pPr>
        <w:widowControl/>
        <w:spacing w:line="480" w:lineRule="exact"/>
        <w:ind w:firstLine="480" w:firstLineChars="200"/>
        <w:jc w:val="left"/>
        <w:rPr>
          <w:rFonts w:ascii="宋体" w:hAnsi="宋体" w:cs="宋体"/>
          <w:sz w:val="24"/>
          <w:szCs w:val="24"/>
        </w:rPr>
      </w:pPr>
      <w:r>
        <w:rPr>
          <w:rFonts w:hint="eastAsia" w:ascii="宋体" w:hAnsi="宋体" w:cs="宋体"/>
          <w:kern w:val="0"/>
          <w:sz w:val="24"/>
          <w:szCs w:val="24"/>
        </w:rPr>
        <w:t xml:space="preserve">2. </w:t>
      </w:r>
      <w:r>
        <w:rPr>
          <w:rFonts w:hint="eastAsia" w:ascii="宋体" w:hAnsi="宋体" w:cs="宋体"/>
          <w:kern w:val="0"/>
          <w:sz w:val="24"/>
          <w:szCs w:val="24"/>
          <w:u w:val="single"/>
        </w:rPr>
        <w:t>（标的名称）</w:t>
      </w:r>
      <w:r>
        <w:rPr>
          <w:rFonts w:hint="eastAsia" w:ascii="宋体" w:hAnsi="宋体" w:cs="宋体"/>
          <w:kern w:val="0"/>
          <w:sz w:val="24"/>
          <w:szCs w:val="24"/>
        </w:rPr>
        <w:t xml:space="preserve"> ，属于（</w:t>
      </w:r>
      <w:r>
        <w:rPr>
          <w:rFonts w:hint="eastAsia" w:ascii="宋体" w:hAnsi="宋体" w:cs="宋体"/>
          <w:kern w:val="0"/>
          <w:sz w:val="24"/>
          <w:szCs w:val="24"/>
          <w:u w:val="single"/>
        </w:rPr>
        <w:t>采购文件中明确的所属行业）</w:t>
      </w:r>
      <w:r>
        <w:rPr>
          <w:rFonts w:hint="eastAsia" w:ascii="宋体" w:hAnsi="宋体" w:cs="宋体"/>
          <w:kern w:val="0"/>
          <w:sz w:val="24"/>
          <w:szCs w:val="24"/>
        </w:rPr>
        <w:t xml:space="preserve"> 行业；制造商为</w:t>
      </w:r>
      <w:r>
        <w:rPr>
          <w:rFonts w:hint="eastAsia" w:ascii="宋体" w:hAnsi="宋体" w:cs="宋体"/>
          <w:kern w:val="0"/>
          <w:sz w:val="24"/>
          <w:szCs w:val="24"/>
          <w:u w:val="single"/>
        </w:rPr>
        <w:t xml:space="preserve">       （企业名称）</w:t>
      </w:r>
      <w:r>
        <w:rPr>
          <w:rFonts w:hint="eastAsia" w:ascii="宋体" w:hAnsi="宋体" w:cs="宋体"/>
          <w:kern w:val="0"/>
          <w:sz w:val="24"/>
          <w:szCs w:val="24"/>
        </w:rPr>
        <w:t xml:space="preserve">，从业人员 人，营业收入为 万元，资产总额为 万元，属于（中型企业、小型 企业、微型企业）； </w:t>
      </w:r>
    </w:p>
    <w:p>
      <w:pPr>
        <w:widowControl/>
        <w:spacing w:line="480" w:lineRule="exact"/>
        <w:jc w:val="left"/>
        <w:rPr>
          <w:rFonts w:ascii="宋体" w:hAnsi="宋体" w:cs="宋体"/>
          <w:sz w:val="24"/>
          <w:szCs w:val="24"/>
        </w:rPr>
      </w:pPr>
      <w:r>
        <w:rPr>
          <w:rFonts w:hint="eastAsia" w:ascii="宋体" w:hAnsi="宋体" w:cs="宋体"/>
          <w:kern w:val="0"/>
          <w:sz w:val="24"/>
          <w:szCs w:val="24"/>
        </w:rPr>
        <w:t>……</w:t>
      </w:r>
    </w:p>
    <w:p>
      <w:pPr>
        <w:widowControl/>
        <w:spacing w:line="480" w:lineRule="exact"/>
        <w:jc w:val="left"/>
        <w:rPr>
          <w:rFonts w:ascii="宋体" w:hAnsi="宋体" w:cs="宋体"/>
          <w:sz w:val="24"/>
          <w:szCs w:val="24"/>
        </w:rPr>
      </w:pPr>
      <w:r>
        <w:rPr>
          <w:rFonts w:hint="eastAsia" w:ascii="宋体" w:hAnsi="宋体" w:cs="宋体"/>
          <w:kern w:val="0"/>
          <w:sz w:val="24"/>
          <w:szCs w:val="24"/>
        </w:rPr>
        <w:t>以上企业，不属于大企业的分支机构，不存在控股股东为大企业的情形，也不存在与大企业的负责人为同一人的情形。</w:t>
      </w:r>
    </w:p>
    <w:p>
      <w:pPr>
        <w:widowControl/>
        <w:spacing w:line="480" w:lineRule="exact"/>
        <w:jc w:val="left"/>
        <w:rPr>
          <w:rFonts w:ascii="宋体" w:hAnsi="宋体" w:cs="宋体"/>
          <w:sz w:val="24"/>
          <w:szCs w:val="24"/>
        </w:rPr>
      </w:pPr>
      <w:r>
        <w:rPr>
          <w:rFonts w:hint="eastAsia" w:ascii="宋体" w:hAnsi="宋体" w:cs="宋体"/>
          <w:kern w:val="0"/>
          <w:sz w:val="24"/>
          <w:szCs w:val="24"/>
        </w:rPr>
        <w:t xml:space="preserve">本企业对上述声明内容的真实性负责。如有虚假，将依法承担相应责任。 </w:t>
      </w:r>
    </w:p>
    <w:p>
      <w:pPr>
        <w:widowControl/>
        <w:spacing w:line="480" w:lineRule="exact"/>
        <w:jc w:val="right"/>
        <w:rPr>
          <w:rFonts w:ascii="宋体" w:hAnsi="宋体" w:cs="宋体"/>
          <w:kern w:val="0"/>
          <w:sz w:val="24"/>
          <w:szCs w:val="24"/>
        </w:rPr>
      </w:pPr>
    </w:p>
    <w:p>
      <w:pPr>
        <w:widowControl/>
        <w:spacing w:line="480" w:lineRule="exact"/>
        <w:jc w:val="right"/>
        <w:rPr>
          <w:rFonts w:ascii="宋体" w:hAnsi="宋体" w:cs="宋体"/>
          <w:kern w:val="0"/>
          <w:sz w:val="24"/>
          <w:szCs w:val="24"/>
        </w:rPr>
      </w:pPr>
    </w:p>
    <w:p>
      <w:pPr>
        <w:widowControl/>
        <w:spacing w:line="480" w:lineRule="exact"/>
        <w:jc w:val="right"/>
        <w:rPr>
          <w:rFonts w:ascii="宋体" w:hAnsi="宋体" w:cs="宋体"/>
          <w:sz w:val="24"/>
          <w:szCs w:val="24"/>
        </w:rPr>
      </w:pPr>
      <w:r>
        <w:rPr>
          <w:rFonts w:hint="eastAsia" w:ascii="宋体" w:hAnsi="宋体" w:cs="宋体"/>
          <w:kern w:val="0"/>
          <w:sz w:val="24"/>
          <w:szCs w:val="24"/>
        </w:rPr>
        <w:t xml:space="preserve">企业名称（盖章）： </w:t>
      </w:r>
    </w:p>
    <w:p>
      <w:pPr>
        <w:widowControl/>
        <w:spacing w:line="480" w:lineRule="exact"/>
        <w:jc w:val="right"/>
        <w:rPr>
          <w:rFonts w:ascii="宋体" w:hAnsi="宋体" w:cs="宋体"/>
          <w:kern w:val="0"/>
          <w:sz w:val="24"/>
          <w:szCs w:val="24"/>
        </w:rPr>
      </w:pPr>
      <w:r>
        <w:rPr>
          <w:rFonts w:hint="eastAsia" w:ascii="宋体" w:hAnsi="宋体" w:cs="宋体"/>
          <w:kern w:val="0"/>
          <w:sz w:val="24"/>
          <w:szCs w:val="24"/>
        </w:rPr>
        <w:t xml:space="preserve">日 期： </w:t>
      </w:r>
    </w:p>
    <w:p>
      <w:pPr>
        <w:pStyle w:val="2"/>
        <w:spacing w:before="164"/>
        <w:ind w:firstLine="600"/>
        <w:rPr>
          <w:rFonts w:hAnsi="宋体" w:cs="宋体"/>
          <w:bCs/>
        </w:rPr>
      </w:pPr>
      <w:r>
        <w:rPr>
          <w:rFonts w:hint="eastAsia" w:ascii="宋体" w:hAnsi="宋体" w:cs="宋体"/>
          <w:kern w:val="0"/>
        </w:rPr>
        <w:t>注：</w:t>
      </w:r>
      <w:r>
        <w:rPr>
          <w:rFonts w:ascii="宋体" w:hAnsi="宋体" w:cs="宋体"/>
          <w:kern w:val="0"/>
        </w:rPr>
        <w:t>1</w:t>
      </w:r>
      <w:r>
        <w:rPr>
          <w:rFonts w:hint="eastAsia" w:ascii="宋体" w:hAnsi="宋体" w:cs="宋体"/>
          <w:kern w:val="0"/>
        </w:rPr>
        <w:t>从业人员、营业收入、资产总额填报上一年度数据，无上一年度数据的新成立企业</w:t>
      </w:r>
    </w:p>
    <w:sectPr>
      <w:pgSz w:w="11906" w:h="16838"/>
      <w:pgMar w:top="1361" w:right="1361" w:bottom="1361" w:left="1361"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6077"/>
    </w:sdtPr>
    <w:sdtContent>
      <w:p>
        <w:pPr>
          <w:pStyle w:val="15"/>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7</w: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378BD"/>
    <w:multiLevelType w:val="singleLevel"/>
    <w:tmpl w:val="FA4378BD"/>
    <w:lvl w:ilvl="0" w:tentative="0">
      <w:start w:val="3"/>
      <w:numFmt w:val="decimal"/>
      <w:lvlText w:val="%1."/>
      <w:lvlJc w:val="left"/>
      <w:pPr>
        <w:tabs>
          <w:tab w:val="left" w:pos="312"/>
        </w:tabs>
      </w:pPr>
    </w:lvl>
  </w:abstractNum>
  <w:abstractNum w:abstractNumId="1">
    <w:nsid w:val="420C153B"/>
    <w:multiLevelType w:val="multilevel"/>
    <w:tmpl w:val="420C153B"/>
    <w:lvl w:ilvl="0" w:tentative="0">
      <w:start w:val="1"/>
      <w:numFmt w:val="decimal"/>
      <w:pStyle w:val="6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736F13F1"/>
    <w:multiLevelType w:val="singleLevel"/>
    <w:tmpl w:val="736F13F1"/>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64"/>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YzNjBkOTgyNWQ1YTMxYzM3MzMwNWFiODNmOWIzYWMifQ=="/>
  </w:docVars>
  <w:rsids>
    <w:rsidRoot w:val="009774A2"/>
    <w:rsid w:val="000002DB"/>
    <w:rsid w:val="00001D82"/>
    <w:rsid w:val="00002A52"/>
    <w:rsid w:val="000042EC"/>
    <w:rsid w:val="00015F72"/>
    <w:rsid w:val="000166B6"/>
    <w:rsid w:val="00017FD8"/>
    <w:rsid w:val="00023623"/>
    <w:rsid w:val="00025A99"/>
    <w:rsid w:val="00027B39"/>
    <w:rsid w:val="0003051F"/>
    <w:rsid w:val="00030DA8"/>
    <w:rsid w:val="00036009"/>
    <w:rsid w:val="00036EEA"/>
    <w:rsid w:val="00043AC5"/>
    <w:rsid w:val="00044DBE"/>
    <w:rsid w:val="0005215C"/>
    <w:rsid w:val="00055240"/>
    <w:rsid w:val="00055A45"/>
    <w:rsid w:val="000566C9"/>
    <w:rsid w:val="00064A6C"/>
    <w:rsid w:val="00065E9B"/>
    <w:rsid w:val="00067710"/>
    <w:rsid w:val="0007455F"/>
    <w:rsid w:val="0008030D"/>
    <w:rsid w:val="00081220"/>
    <w:rsid w:val="000857A2"/>
    <w:rsid w:val="00085D89"/>
    <w:rsid w:val="00090447"/>
    <w:rsid w:val="00091EFF"/>
    <w:rsid w:val="00093884"/>
    <w:rsid w:val="000948F0"/>
    <w:rsid w:val="00094B1C"/>
    <w:rsid w:val="00097FC6"/>
    <w:rsid w:val="000A0A46"/>
    <w:rsid w:val="000A0E99"/>
    <w:rsid w:val="000A1298"/>
    <w:rsid w:val="000A17E8"/>
    <w:rsid w:val="000A340B"/>
    <w:rsid w:val="000A5DE3"/>
    <w:rsid w:val="000A7B6C"/>
    <w:rsid w:val="000B1163"/>
    <w:rsid w:val="000B5EAE"/>
    <w:rsid w:val="000C0D5B"/>
    <w:rsid w:val="000C4319"/>
    <w:rsid w:val="000C4C1D"/>
    <w:rsid w:val="000C5659"/>
    <w:rsid w:val="000C5D7C"/>
    <w:rsid w:val="000D06E6"/>
    <w:rsid w:val="000D227A"/>
    <w:rsid w:val="000D23CA"/>
    <w:rsid w:val="000D4087"/>
    <w:rsid w:val="000E0921"/>
    <w:rsid w:val="000E3384"/>
    <w:rsid w:val="000E4DC9"/>
    <w:rsid w:val="000E6A5E"/>
    <w:rsid w:val="000E789F"/>
    <w:rsid w:val="000F190C"/>
    <w:rsid w:val="000F1B53"/>
    <w:rsid w:val="000F4059"/>
    <w:rsid w:val="000F48C2"/>
    <w:rsid w:val="000F5E9E"/>
    <w:rsid w:val="000F6EEB"/>
    <w:rsid w:val="000F7321"/>
    <w:rsid w:val="00101F12"/>
    <w:rsid w:val="00102434"/>
    <w:rsid w:val="00102BAB"/>
    <w:rsid w:val="00102EAB"/>
    <w:rsid w:val="00103D95"/>
    <w:rsid w:val="001059B2"/>
    <w:rsid w:val="00106FD4"/>
    <w:rsid w:val="0011120C"/>
    <w:rsid w:val="00113ACE"/>
    <w:rsid w:val="00116F02"/>
    <w:rsid w:val="00117380"/>
    <w:rsid w:val="00117F46"/>
    <w:rsid w:val="001262ED"/>
    <w:rsid w:val="00127016"/>
    <w:rsid w:val="00130447"/>
    <w:rsid w:val="00131D11"/>
    <w:rsid w:val="0013260E"/>
    <w:rsid w:val="00133E95"/>
    <w:rsid w:val="001400FF"/>
    <w:rsid w:val="00140EFC"/>
    <w:rsid w:val="00145127"/>
    <w:rsid w:val="00150846"/>
    <w:rsid w:val="00150C7E"/>
    <w:rsid w:val="001551D7"/>
    <w:rsid w:val="00155A74"/>
    <w:rsid w:val="001572B3"/>
    <w:rsid w:val="001579F1"/>
    <w:rsid w:val="0016062F"/>
    <w:rsid w:val="001612A8"/>
    <w:rsid w:val="00161A25"/>
    <w:rsid w:val="00164C91"/>
    <w:rsid w:val="0016779B"/>
    <w:rsid w:val="001715EA"/>
    <w:rsid w:val="0017211A"/>
    <w:rsid w:val="00177DBA"/>
    <w:rsid w:val="00181A6B"/>
    <w:rsid w:val="00182B7C"/>
    <w:rsid w:val="0018482C"/>
    <w:rsid w:val="001900BC"/>
    <w:rsid w:val="00192F55"/>
    <w:rsid w:val="001949FA"/>
    <w:rsid w:val="001963A4"/>
    <w:rsid w:val="001A125D"/>
    <w:rsid w:val="001A317A"/>
    <w:rsid w:val="001A3E1E"/>
    <w:rsid w:val="001A6497"/>
    <w:rsid w:val="001B06C8"/>
    <w:rsid w:val="001B0759"/>
    <w:rsid w:val="001B278D"/>
    <w:rsid w:val="001B5F39"/>
    <w:rsid w:val="001C102B"/>
    <w:rsid w:val="001C1862"/>
    <w:rsid w:val="001C42A5"/>
    <w:rsid w:val="001C5E57"/>
    <w:rsid w:val="001D008D"/>
    <w:rsid w:val="001D4250"/>
    <w:rsid w:val="001E0B8A"/>
    <w:rsid w:val="001E0E9D"/>
    <w:rsid w:val="001E1862"/>
    <w:rsid w:val="001E368C"/>
    <w:rsid w:val="001E36DE"/>
    <w:rsid w:val="001E3B85"/>
    <w:rsid w:val="001E5237"/>
    <w:rsid w:val="001E5A0D"/>
    <w:rsid w:val="001E5DE8"/>
    <w:rsid w:val="001E7C30"/>
    <w:rsid w:val="001E7E35"/>
    <w:rsid w:val="001F4BCF"/>
    <w:rsid w:val="001F5230"/>
    <w:rsid w:val="001F664D"/>
    <w:rsid w:val="002009DC"/>
    <w:rsid w:val="002033B2"/>
    <w:rsid w:val="0020402B"/>
    <w:rsid w:val="00205E39"/>
    <w:rsid w:val="00211FD8"/>
    <w:rsid w:val="00213953"/>
    <w:rsid w:val="0021510E"/>
    <w:rsid w:val="00217E90"/>
    <w:rsid w:val="00222BEF"/>
    <w:rsid w:val="00224505"/>
    <w:rsid w:val="00225634"/>
    <w:rsid w:val="00225ED7"/>
    <w:rsid w:val="002309AC"/>
    <w:rsid w:val="002343CF"/>
    <w:rsid w:val="002349FC"/>
    <w:rsid w:val="0023578F"/>
    <w:rsid w:val="0023727E"/>
    <w:rsid w:val="00237330"/>
    <w:rsid w:val="00243B82"/>
    <w:rsid w:val="00243D1F"/>
    <w:rsid w:val="00244D5C"/>
    <w:rsid w:val="00245287"/>
    <w:rsid w:val="002468C1"/>
    <w:rsid w:val="00246D2A"/>
    <w:rsid w:val="00250ECD"/>
    <w:rsid w:val="00251CC5"/>
    <w:rsid w:val="00253D9C"/>
    <w:rsid w:val="00256AA5"/>
    <w:rsid w:val="0026244A"/>
    <w:rsid w:val="00262B10"/>
    <w:rsid w:val="0026515A"/>
    <w:rsid w:val="0027245F"/>
    <w:rsid w:val="0027608C"/>
    <w:rsid w:val="0028234A"/>
    <w:rsid w:val="00283367"/>
    <w:rsid w:val="0028429C"/>
    <w:rsid w:val="00287D32"/>
    <w:rsid w:val="0029025C"/>
    <w:rsid w:val="002911D9"/>
    <w:rsid w:val="002A0845"/>
    <w:rsid w:val="002A1E94"/>
    <w:rsid w:val="002A30EA"/>
    <w:rsid w:val="002A60DA"/>
    <w:rsid w:val="002B0DF7"/>
    <w:rsid w:val="002B1B4B"/>
    <w:rsid w:val="002B3932"/>
    <w:rsid w:val="002B4E4D"/>
    <w:rsid w:val="002C2AD3"/>
    <w:rsid w:val="002C427E"/>
    <w:rsid w:val="002C72B7"/>
    <w:rsid w:val="002D00FA"/>
    <w:rsid w:val="002D1AE3"/>
    <w:rsid w:val="002D7CBB"/>
    <w:rsid w:val="002E03F8"/>
    <w:rsid w:val="002E24A5"/>
    <w:rsid w:val="002E3BB6"/>
    <w:rsid w:val="002E5D42"/>
    <w:rsid w:val="002E7B2E"/>
    <w:rsid w:val="002F1519"/>
    <w:rsid w:val="002F36AC"/>
    <w:rsid w:val="002F5F02"/>
    <w:rsid w:val="00303AFB"/>
    <w:rsid w:val="00304DC0"/>
    <w:rsid w:val="00305179"/>
    <w:rsid w:val="003057F8"/>
    <w:rsid w:val="00307C58"/>
    <w:rsid w:val="003105D9"/>
    <w:rsid w:val="003157AA"/>
    <w:rsid w:val="003178C0"/>
    <w:rsid w:val="00321416"/>
    <w:rsid w:val="00322A65"/>
    <w:rsid w:val="003249FC"/>
    <w:rsid w:val="00324B5A"/>
    <w:rsid w:val="003255ED"/>
    <w:rsid w:val="003279CB"/>
    <w:rsid w:val="0033133D"/>
    <w:rsid w:val="00331869"/>
    <w:rsid w:val="00332FE1"/>
    <w:rsid w:val="003336C6"/>
    <w:rsid w:val="00334475"/>
    <w:rsid w:val="00334FF9"/>
    <w:rsid w:val="003352A8"/>
    <w:rsid w:val="003359EA"/>
    <w:rsid w:val="00335D00"/>
    <w:rsid w:val="00336951"/>
    <w:rsid w:val="00336F93"/>
    <w:rsid w:val="003375EB"/>
    <w:rsid w:val="00340114"/>
    <w:rsid w:val="00341D13"/>
    <w:rsid w:val="0034407C"/>
    <w:rsid w:val="00346147"/>
    <w:rsid w:val="00347233"/>
    <w:rsid w:val="00347700"/>
    <w:rsid w:val="003477CE"/>
    <w:rsid w:val="003532F0"/>
    <w:rsid w:val="00353452"/>
    <w:rsid w:val="003541F9"/>
    <w:rsid w:val="00361FA3"/>
    <w:rsid w:val="00362F99"/>
    <w:rsid w:val="00363BB0"/>
    <w:rsid w:val="00366E25"/>
    <w:rsid w:val="00370CE1"/>
    <w:rsid w:val="0037430A"/>
    <w:rsid w:val="00375AB5"/>
    <w:rsid w:val="003802D0"/>
    <w:rsid w:val="00382229"/>
    <w:rsid w:val="003825F9"/>
    <w:rsid w:val="00382688"/>
    <w:rsid w:val="00382879"/>
    <w:rsid w:val="00386F43"/>
    <w:rsid w:val="0038761C"/>
    <w:rsid w:val="00390768"/>
    <w:rsid w:val="00392F53"/>
    <w:rsid w:val="003973D3"/>
    <w:rsid w:val="003A0173"/>
    <w:rsid w:val="003A07FB"/>
    <w:rsid w:val="003A1057"/>
    <w:rsid w:val="003A3B64"/>
    <w:rsid w:val="003A40DD"/>
    <w:rsid w:val="003A41DE"/>
    <w:rsid w:val="003A4ED8"/>
    <w:rsid w:val="003A592A"/>
    <w:rsid w:val="003A5CA9"/>
    <w:rsid w:val="003A71DA"/>
    <w:rsid w:val="003A7B17"/>
    <w:rsid w:val="003A7B64"/>
    <w:rsid w:val="003A7F0E"/>
    <w:rsid w:val="003B765A"/>
    <w:rsid w:val="003B77B5"/>
    <w:rsid w:val="003B7E43"/>
    <w:rsid w:val="003C3486"/>
    <w:rsid w:val="003C4210"/>
    <w:rsid w:val="003C54AD"/>
    <w:rsid w:val="003D20E9"/>
    <w:rsid w:val="003D2C0F"/>
    <w:rsid w:val="003D2F37"/>
    <w:rsid w:val="003D33F4"/>
    <w:rsid w:val="003D3B88"/>
    <w:rsid w:val="003D4DFF"/>
    <w:rsid w:val="003D680C"/>
    <w:rsid w:val="003E1F03"/>
    <w:rsid w:val="003E2815"/>
    <w:rsid w:val="003E33A4"/>
    <w:rsid w:val="003E578F"/>
    <w:rsid w:val="003F2D13"/>
    <w:rsid w:val="003F6982"/>
    <w:rsid w:val="003F7E8F"/>
    <w:rsid w:val="00400527"/>
    <w:rsid w:val="004007D5"/>
    <w:rsid w:val="00401030"/>
    <w:rsid w:val="00401BA6"/>
    <w:rsid w:val="004061F1"/>
    <w:rsid w:val="00407EB5"/>
    <w:rsid w:val="00414C9D"/>
    <w:rsid w:val="00417A77"/>
    <w:rsid w:val="00422154"/>
    <w:rsid w:val="00422DF4"/>
    <w:rsid w:val="004243A1"/>
    <w:rsid w:val="00424BEC"/>
    <w:rsid w:val="004258AB"/>
    <w:rsid w:val="00426495"/>
    <w:rsid w:val="00433E05"/>
    <w:rsid w:val="00440B93"/>
    <w:rsid w:val="0044436C"/>
    <w:rsid w:val="00445A94"/>
    <w:rsid w:val="004460AC"/>
    <w:rsid w:val="004465B8"/>
    <w:rsid w:val="0044686A"/>
    <w:rsid w:val="00450F01"/>
    <w:rsid w:val="00451AA3"/>
    <w:rsid w:val="00452730"/>
    <w:rsid w:val="004539B8"/>
    <w:rsid w:val="00456F00"/>
    <w:rsid w:val="0046199E"/>
    <w:rsid w:val="004636BC"/>
    <w:rsid w:val="00463958"/>
    <w:rsid w:val="00464169"/>
    <w:rsid w:val="004668F3"/>
    <w:rsid w:val="00466E01"/>
    <w:rsid w:val="004710DE"/>
    <w:rsid w:val="00471929"/>
    <w:rsid w:val="00473582"/>
    <w:rsid w:val="0047417D"/>
    <w:rsid w:val="0047437C"/>
    <w:rsid w:val="00476466"/>
    <w:rsid w:val="00480617"/>
    <w:rsid w:val="004821F7"/>
    <w:rsid w:val="004842D2"/>
    <w:rsid w:val="00484D23"/>
    <w:rsid w:val="00484EF6"/>
    <w:rsid w:val="00484FBC"/>
    <w:rsid w:val="00485371"/>
    <w:rsid w:val="00486A1C"/>
    <w:rsid w:val="00486BFE"/>
    <w:rsid w:val="00487E62"/>
    <w:rsid w:val="00491E48"/>
    <w:rsid w:val="00492985"/>
    <w:rsid w:val="0049437D"/>
    <w:rsid w:val="004A0084"/>
    <w:rsid w:val="004A067E"/>
    <w:rsid w:val="004A3E59"/>
    <w:rsid w:val="004A58A6"/>
    <w:rsid w:val="004A68D6"/>
    <w:rsid w:val="004A76C1"/>
    <w:rsid w:val="004B0461"/>
    <w:rsid w:val="004B1E65"/>
    <w:rsid w:val="004B296E"/>
    <w:rsid w:val="004B2AE2"/>
    <w:rsid w:val="004B5A97"/>
    <w:rsid w:val="004B6FEF"/>
    <w:rsid w:val="004C0A7D"/>
    <w:rsid w:val="004C1264"/>
    <w:rsid w:val="004C1AEE"/>
    <w:rsid w:val="004C1D04"/>
    <w:rsid w:val="004C3C2A"/>
    <w:rsid w:val="004C3DAA"/>
    <w:rsid w:val="004C7C5C"/>
    <w:rsid w:val="004D0230"/>
    <w:rsid w:val="004D07DE"/>
    <w:rsid w:val="004D0E44"/>
    <w:rsid w:val="004D2D60"/>
    <w:rsid w:val="004D54A8"/>
    <w:rsid w:val="004D6390"/>
    <w:rsid w:val="004D7782"/>
    <w:rsid w:val="004D7D62"/>
    <w:rsid w:val="004E17FB"/>
    <w:rsid w:val="004E45D1"/>
    <w:rsid w:val="004E6989"/>
    <w:rsid w:val="004E7156"/>
    <w:rsid w:val="004F1BB0"/>
    <w:rsid w:val="004F2B00"/>
    <w:rsid w:val="004F4E05"/>
    <w:rsid w:val="004F728F"/>
    <w:rsid w:val="0050136A"/>
    <w:rsid w:val="00502098"/>
    <w:rsid w:val="00502D0E"/>
    <w:rsid w:val="0051369E"/>
    <w:rsid w:val="00514318"/>
    <w:rsid w:val="00514F33"/>
    <w:rsid w:val="005155E4"/>
    <w:rsid w:val="005159F8"/>
    <w:rsid w:val="005162DA"/>
    <w:rsid w:val="0053021E"/>
    <w:rsid w:val="00533173"/>
    <w:rsid w:val="005360B9"/>
    <w:rsid w:val="00540E58"/>
    <w:rsid w:val="0054133F"/>
    <w:rsid w:val="00543070"/>
    <w:rsid w:val="005439D8"/>
    <w:rsid w:val="00545C0B"/>
    <w:rsid w:val="00546D53"/>
    <w:rsid w:val="0055280C"/>
    <w:rsid w:val="0056359D"/>
    <w:rsid w:val="00563C7D"/>
    <w:rsid w:val="00567CE9"/>
    <w:rsid w:val="00571B54"/>
    <w:rsid w:val="00571FC2"/>
    <w:rsid w:val="005731A9"/>
    <w:rsid w:val="00573E92"/>
    <w:rsid w:val="005743F5"/>
    <w:rsid w:val="005757A4"/>
    <w:rsid w:val="0057584B"/>
    <w:rsid w:val="005760EC"/>
    <w:rsid w:val="00576EF0"/>
    <w:rsid w:val="00580908"/>
    <w:rsid w:val="00580AD8"/>
    <w:rsid w:val="00580BDB"/>
    <w:rsid w:val="00581813"/>
    <w:rsid w:val="00581873"/>
    <w:rsid w:val="00586644"/>
    <w:rsid w:val="00586D2D"/>
    <w:rsid w:val="00593295"/>
    <w:rsid w:val="00593330"/>
    <w:rsid w:val="00593F64"/>
    <w:rsid w:val="00595D01"/>
    <w:rsid w:val="005A1DCE"/>
    <w:rsid w:val="005A4CC3"/>
    <w:rsid w:val="005B0434"/>
    <w:rsid w:val="005B20A0"/>
    <w:rsid w:val="005B3394"/>
    <w:rsid w:val="005B3D11"/>
    <w:rsid w:val="005C00A2"/>
    <w:rsid w:val="005C2F7A"/>
    <w:rsid w:val="005C3E4F"/>
    <w:rsid w:val="005C6893"/>
    <w:rsid w:val="005D2094"/>
    <w:rsid w:val="005D41E3"/>
    <w:rsid w:val="005D5673"/>
    <w:rsid w:val="005D6ACE"/>
    <w:rsid w:val="005D710C"/>
    <w:rsid w:val="005E0A42"/>
    <w:rsid w:val="005E1AED"/>
    <w:rsid w:val="005E1D4C"/>
    <w:rsid w:val="005E20E6"/>
    <w:rsid w:val="005E3380"/>
    <w:rsid w:val="005E341D"/>
    <w:rsid w:val="005E6B5D"/>
    <w:rsid w:val="005F1D4E"/>
    <w:rsid w:val="005F4E5D"/>
    <w:rsid w:val="005F6AC5"/>
    <w:rsid w:val="005F75C7"/>
    <w:rsid w:val="00601E9D"/>
    <w:rsid w:val="0060533C"/>
    <w:rsid w:val="00607ECD"/>
    <w:rsid w:val="0061231E"/>
    <w:rsid w:val="006128CA"/>
    <w:rsid w:val="00613932"/>
    <w:rsid w:val="0061538D"/>
    <w:rsid w:val="00615A55"/>
    <w:rsid w:val="00617E4D"/>
    <w:rsid w:val="00621EB2"/>
    <w:rsid w:val="00623B76"/>
    <w:rsid w:val="00624183"/>
    <w:rsid w:val="00625A64"/>
    <w:rsid w:val="00626B2D"/>
    <w:rsid w:val="00630E43"/>
    <w:rsid w:val="00630F20"/>
    <w:rsid w:val="0063102F"/>
    <w:rsid w:val="00632C09"/>
    <w:rsid w:val="006337B8"/>
    <w:rsid w:val="006359E3"/>
    <w:rsid w:val="0063687D"/>
    <w:rsid w:val="006400B1"/>
    <w:rsid w:val="00641EA9"/>
    <w:rsid w:val="00643A1B"/>
    <w:rsid w:val="006441D6"/>
    <w:rsid w:val="00646E60"/>
    <w:rsid w:val="00646ED1"/>
    <w:rsid w:val="00647E28"/>
    <w:rsid w:val="006501DB"/>
    <w:rsid w:val="006566C3"/>
    <w:rsid w:val="0066647B"/>
    <w:rsid w:val="0066670E"/>
    <w:rsid w:val="00667482"/>
    <w:rsid w:val="00673897"/>
    <w:rsid w:val="00676ACB"/>
    <w:rsid w:val="00677B13"/>
    <w:rsid w:val="00677FCA"/>
    <w:rsid w:val="006803E3"/>
    <w:rsid w:val="00684222"/>
    <w:rsid w:val="00684C9E"/>
    <w:rsid w:val="00684E4A"/>
    <w:rsid w:val="006917A6"/>
    <w:rsid w:val="00692153"/>
    <w:rsid w:val="00694CD5"/>
    <w:rsid w:val="00696DC8"/>
    <w:rsid w:val="006A2421"/>
    <w:rsid w:val="006A4DBB"/>
    <w:rsid w:val="006A5232"/>
    <w:rsid w:val="006A6632"/>
    <w:rsid w:val="006B4E33"/>
    <w:rsid w:val="006B67A7"/>
    <w:rsid w:val="006C25D0"/>
    <w:rsid w:val="006C413F"/>
    <w:rsid w:val="006C74C1"/>
    <w:rsid w:val="006D3280"/>
    <w:rsid w:val="006D61C4"/>
    <w:rsid w:val="006E1195"/>
    <w:rsid w:val="006E1F56"/>
    <w:rsid w:val="006E521A"/>
    <w:rsid w:val="006E554E"/>
    <w:rsid w:val="006F00B9"/>
    <w:rsid w:val="006F3B42"/>
    <w:rsid w:val="006F3EBB"/>
    <w:rsid w:val="006F47A4"/>
    <w:rsid w:val="006F7A47"/>
    <w:rsid w:val="00704F20"/>
    <w:rsid w:val="00707C4A"/>
    <w:rsid w:val="00711EF4"/>
    <w:rsid w:val="007151F8"/>
    <w:rsid w:val="007177DF"/>
    <w:rsid w:val="00717F43"/>
    <w:rsid w:val="00720097"/>
    <w:rsid w:val="00720C81"/>
    <w:rsid w:val="00727BB5"/>
    <w:rsid w:val="00733168"/>
    <w:rsid w:val="00737A4D"/>
    <w:rsid w:val="00740293"/>
    <w:rsid w:val="00741A25"/>
    <w:rsid w:val="00742C90"/>
    <w:rsid w:val="007446C7"/>
    <w:rsid w:val="0074766D"/>
    <w:rsid w:val="00752290"/>
    <w:rsid w:val="007538B8"/>
    <w:rsid w:val="00754F63"/>
    <w:rsid w:val="00756E34"/>
    <w:rsid w:val="00760351"/>
    <w:rsid w:val="00761E36"/>
    <w:rsid w:val="0076208E"/>
    <w:rsid w:val="00763BBA"/>
    <w:rsid w:val="00764F9E"/>
    <w:rsid w:val="00765655"/>
    <w:rsid w:val="00765D55"/>
    <w:rsid w:val="00780A8F"/>
    <w:rsid w:val="007826DA"/>
    <w:rsid w:val="00784C74"/>
    <w:rsid w:val="0078556D"/>
    <w:rsid w:val="00787FDA"/>
    <w:rsid w:val="007916D1"/>
    <w:rsid w:val="00791874"/>
    <w:rsid w:val="0079334F"/>
    <w:rsid w:val="007974C4"/>
    <w:rsid w:val="007976BA"/>
    <w:rsid w:val="007A14CD"/>
    <w:rsid w:val="007A285F"/>
    <w:rsid w:val="007A3C7D"/>
    <w:rsid w:val="007A7103"/>
    <w:rsid w:val="007B0544"/>
    <w:rsid w:val="007B2D61"/>
    <w:rsid w:val="007B4171"/>
    <w:rsid w:val="007B494D"/>
    <w:rsid w:val="007B6009"/>
    <w:rsid w:val="007B65E1"/>
    <w:rsid w:val="007B66D3"/>
    <w:rsid w:val="007C034C"/>
    <w:rsid w:val="007C48EB"/>
    <w:rsid w:val="007D040B"/>
    <w:rsid w:val="007D1423"/>
    <w:rsid w:val="007E249C"/>
    <w:rsid w:val="007E3220"/>
    <w:rsid w:val="007F0DFE"/>
    <w:rsid w:val="007F156D"/>
    <w:rsid w:val="007F31C1"/>
    <w:rsid w:val="007F31D1"/>
    <w:rsid w:val="00801FF9"/>
    <w:rsid w:val="0080235F"/>
    <w:rsid w:val="00803C63"/>
    <w:rsid w:val="0080669E"/>
    <w:rsid w:val="00806CEA"/>
    <w:rsid w:val="00807D6A"/>
    <w:rsid w:val="00807FB4"/>
    <w:rsid w:val="008101FA"/>
    <w:rsid w:val="008139CA"/>
    <w:rsid w:val="00815094"/>
    <w:rsid w:val="00817A61"/>
    <w:rsid w:val="00820EC1"/>
    <w:rsid w:val="00821AD3"/>
    <w:rsid w:val="00825DE2"/>
    <w:rsid w:val="00830B3D"/>
    <w:rsid w:val="008417C4"/>
    <w:rsid w:val="00841A9B"/>
    <w:rsid w:val="0084254F"/>
    <w:rsid w:val="008431D8"/>
    <w:rsid w:val="00843411"/>
    <w:rsid w:val="00851CC9"/>
    <w:rsid w:val="0085254D"/>
    <w:rsid w:val="008537EA"/>
    <w:rsid w:val="0085477C"/>
    <w:rsid w:val="0085492E"/>
    <w:rsid w:val="00855247"/>
    <w:rsid w:val="00860B29"/>
    <w:rsid w:val="00861068"/>
    <w:rsid w:val="008613B2"/>
    <w:rsid w:val="008617BA"/>
    <w:rsid w:val="0086181A"/>
    <w:rsid w:val="0086246F"/>
    <w:rsid w:val="008668DB"/>
    <w:rsid w:val="0086707B"/>
    <w:rsid w:val="00872481"/>
    <w:rsid w:val="00874E04"/>
    <w:rsid w:val="0087532D"/>
    <w:rsid w:val="008763DC"/>
    <w:rsid w:val="00877199"/>
    <w:rsid w:val="00877B20"/>
    <w:rsid w:val="0088323E"/>
    <w:rsid w:val="008838F8"/>
    <w:rsid w:val="00885031"/>
    <w:rsid w:val="0088669D"/>
    <w:rsid w:val="00887962"/>
    <w:rsid w:val="00891E70"/>
    <w:rsid w:val="008948B9"/>
    <w:rsid w:val="0089566B"/>
    <w:rsid w:val="00896D22"/>
    <w:rsid w:val="00897F6E"/>
    <w:rsid w:val="008A17DE"/>
    <w:rsid w:val="008A29F9"/>
    <w:rsid w:val="008A32B4"/>
    <w:rsid w:val="008A35B6"/>
    <w:rsid w:val="008A491B"/>
    <w:rsid w:val="008A5A30"/>
    <w:rsid w:val="008A64A0"/>
    <w:rsid w:val="008A65D1"/>
    <w:rsid w:val="008B0B71"/>
    <w:rsid w:val="008B2351"/>
    <w:rsid w:val="008B32EE"/>
    <w:rsid w:val="008B425D"/>
    <w:rsid w:val="008B5B3E"/>
    <w:rsid w:val="008C1094"/>
    <w:rsid w:val="008C3310"/>
    <w:rsid w:val="008C4CE7"/>
    <w:rsid w:val="008D32BF"/>
    <w:rsid w:val="008D3434"/>
    <w:rsid w:val="008D60F5"/>
    <w:rsid w:val="008E1ED8"/>
    <w:rsid w:val="008E292C"/>
    <w:rsid w:val="008E2DD1"/>
    <w:rsid w:val="008E68A4"/>
    <w:rsid w:val="008F2299"/>
    <w:rsid w:val="008F309C"/>
    <w:rsid w:val="008F3315"/>
    <w:rsid w:val="008F64B0"/>
    <w:rsid w:val="00901A58"/>
    <w:rsid w:val="009045A8"/>
    <w:rsid w:val="009056D3"/>
    <w:rsid w:val="009100E7"/>
    <w:rsid w:val="009108A7"/>
    <w:rsid w:val="00911AD2"/>
    <w:rsid w:val="009122CE"/>
    <w:rsid w:val="00913846"/>
    <w:rsid w:val="00917047"/>
    <w:rsid w:val="00917B6C"/>
    <w:rsid w:val="0092196A"/>
    <w:rsid w:val="00923750"/>
    <w:rsid w:val="00930400"/>
    <w:rsid w:val="00930637"/>
    <w:rsid w:val="00931C21"/>
    <w:rsid w:val="00933401"/>
    <w:rsid w:val="00943991"/>
    <w:rsid w:val="00944233"/>
    <w:rsid w:val="0094566F"/>
    <w:rsid w:val="00945CE4"/>
    <w:rsid w:val="009474A5"/>
    <w:rsid w:val="009475F3"/>
    <w:rsid w:val="009478DB"/>
    <w:rsid w:val="00950288"/>
    <w:rsid w:val="00950A5D"/>
    <w:rsid w:val="009525D6"/>
    <w:rsid w:val="00952B37"/>
    <w:rsid w:val="00954535"/>
    <w:rsid w:val="00962629"/>
    <w:rsid w:val="00966B11"/>
    <w:rsid w:val="00970B9A"/>
    <w:rsid w:val="00971BB0"/>
    <w:rsid w:val="00971E3A"/>
    <w:rsid w:val="009721F8"/>
    <w:rsid w:val="009755FA"/>
    <w:rsid w:val="0097569D"/>
    <w:rsid w:val="00975EA6"/>
    <w:rsid w:val="009774A2"/>
    <w:rsid w:val="00980B47"/>
    <w:rsid w:val="0098246A"/>
    <w:rsid w:val="009829D7"/>
    <w:rsid w:val="009840C2"/>
    <w:rsid w:val="00984251"/>
    <w:rsid w:val="0098574C"/>
    <w:rsid w:val="009863B0"/>
    <w:rsid w:val="009869BF"/>
    <w:rsid w:val="00987707"/>
    <w:rsid w:val="00991DB5"/>
    <w:rsid w:val="009927AE"/>
    <w:rsid w:val="00992F44"/>
    <w:rsid w:val="009A2BD6"/>
    <w:rsid w:val="009A38FD"/>
    <w:rsid w:val="009B0077"/>
    <w:rsid w:val="009B23D1"/>
    <w:rsid w:val="009B2883"/>
    <w:rsid w:val="009B2CA6"/>
    <w:rsid w:val="009B450C"/>
    <w:rsid w:val="009B6C6D"/>
    <w:rsid w:val="009B728B"/>
    <w:rsid w:val="009C46A2"/>
    <w:rsid w:val="009C6CDA"/>
    <w:rsid w:val="009C712F"/>
    <w:rsid w:val="009C7A26"/>
    <w:rsid w:val="009D1FB1"/>
    <w:rsid w:val="009D2724"/>
    <w:rsid w:val="009D66CF"/>
    <w:rsid w:val="009E1A26"/>
    <w:rsid w:val="009E42AE"/>
    <w:rsid w:val="009E4A03"/>
    <w:rsid w:val="009E780B"/>
    <w:rsid w:val="009F00A5"/>
    <w:rsid w:val="009F02C4"/>
    <w:rsid w:val="009F1021"/>
    <w:rsid w:val="009F1362"/>
    <w:rsid w:val="009F15E9"/>
    <w:rsid w:val="009F33DB"/>
    <w:rsid w:val="009F494B"/>
    <w:rsid w:val="009F6993"/>
    <w:rsid w:val="009F7155"/>
    <w:rsid w:val="00A01726"/>
    <w:rsid w:val="00A0605C"/>
    <w:rsid w:val="00A06E35"/>
    <w:rsid w:val="00A07EB7"/>
    <w:rsid w:val="00A15259"/>
    <w:rsid w:val="00A17F0F"/>
    <w:rsid w:val="00A22054"/>
    <w:rsid w:val="00A23372"/>
    <w:rsid w:val="00A256CD"/>
    <w:rsid w:val="00A2577F"/>
    <w:rsid w:val="00A27AA3"/>
    <w:rsid w:val="00A369E2"/>
    <w:rsid w:val="00A40652"/>
    <w:rsid w:val="00A41BBB"/>
    <w:rsid w:val="00A43CBC"/>
    <w:rsid w:val="00A45EA5"/>
    <w:rsid w:val="00A47A47"/>
    <w:rsid w:val="00A511FC"/>
    <w:rsid w:val="00A514FC"/>
    <w:rsid w:val="00A52058"/>
    <w:rsid w:val="00A547CC"/>
    <w:rsid w:val="00A5509B"/>
    <w:rsid w:val="00A602F5"/>
    <w:rsid w:val="00A61120"/>
    <w:rsid w:val="00A63EF0"/>
    <w:rsid w:val="00A65098"/>
    <w:rsid w:val="00A71F32"/>
    <w:rsid w:val="00A77B3F"/>
    <w:rsid w:val="00A81AB5"/>
    <w:rsid w:val="00A82345"/>
    <w:rsid w:val="00A8391C"/>
    <w:rsid w:val="00A83D14"/>
    <w:rsid w:val="00A868A7"/>
    <w:rsid w:val="00A86E42"/>
    <w:rsid w:val="00A8704E"/>
    <w:rsid w:val="00A90FF0"/>
    <w:rsid w:val="00A94528"/>
    <w:rsid w:val="00A95317"/>
    <w:rsid w:val="00A97D13"/>
    <w:rsid w:val="00AA08FE"/>
    <w:rsid w:val="00AA199B"/>
    <w:rsid w:val="00AA3E61"/>
    <w:rsid w:val="00AA4B9F"/>
    <w:rsid w:val="00AA7E9D"/>
    <w:rsid w:val="00AB16C2"/>
    <w:rsid w:val="00AB1873"/>
    <w:rsid w:val="00AB4019"/>
    <w:rsid w:val="00AB4ACE"/>
    <w:rsid w:val="00AB76CB"/>
    <w:rsid w:val="00AC019A"/>
    <w:rsid w:val="00AC1ABF"/>
    <w:rsid w:val="00AC3F62"/>
    <w:rsid w:val="00AC5D75"/>
    <w:rsid w:val="00AC6712"/>
    <w:rsid w:val="00AD1271"/>
    <w:rsid w:val="00AD4648"/>
    <w:rsid w:val="00AE01AE"/>
    <w:rsid w:val="00AE0A7E"/>
    <w:rsid w:val="00AE2957"/>
    <w:rsid w:val="00AE3FFC"/>
    <w:rsid w:val="00AE6058"/>
    <w:rsid w:val="00AF191D"/>
    <w:rsid w:val="00AF427A"/>
    <w:rsid w:val="00AF5F6A"/>
    <w:rsid w:val="00B00714"/>
    <w:rsid w:val="00B013D1"/>
    <w:rsid w:val="00B01A17"/>
    <w:rsid w:val="00B02F46"/>
    <w:rsid w:val="00B03E15"/>
    <w:rsid w:val="00B10F12"/>
    <w:rsid w:val="00B1169D"/>
    <w:rsid w:val="00B130CC"/>
    <w:rsid w:val="00B15BE6"/>
    <w:rsid w:val="00B15EFA"/>
    <w:rsid w:val="00B177D6"/>
    <w:rsid w:val="00B17986"/>
    <w:rsid w:val="00B17E37"/>
    <w:rsid w:val="00B2115E"/>
    <w:rsid w:val="00B233D7"/>
    <w:rsid w:val="00B2350F"/>
    <w:rsid w:val="00B237B5"/>
    <w:rsid w:val="00B30DAB"/>
    <w:rsid w:val="00B3111F"/>
    <w:rsid w:val="00B31285"/>
    <w:rsid w:val="00B31D9B"/>
    <w:rsid w:val="00B35FB1"/>
    <w:rsid w:val="00B370DB"/>
    <w:rsid w:val="00B40B17"/>
    <w:rsid w:val="00B40B53"/>
    <w:rsid w:val="00B41E47"/>
    <w:rsid w:val="00B41E98"/>
    <w:rsid w:val="00B45AF6"/>
    <w:rsid w:val="00B460C6"/>
    <w:rsid w:val="00B4775B"/>
    <w:rsid w:val="00B50B09"/>
    <w:rsid w:val="00B53E43"/>
    <w:rsid w:val="00B56400"/>
    <w:rsid w:val="00B62F3B"/>
    <w:rsid w:val="00B65FD7"/>
    <w:rsid w:val="00B66A58"/>
    <w:rsid w:val="00B66F9A"/>
    <w:rsid w:val="00B7011A"/>
    <w:rsid w:val="00B7123F"/>
    <w:rsid w:val="00B72CCC"/>
    <w:rsid w:val="00B80CFC"/>
    <w:rsid w:val="00B81F79"/>
    <w:rsid w:val="00B832BA"/>
    <w:rsid w:val="00B84C6F"/>
    <w:rsid w:val="00B91AAF"/>
    <w:rsid w:val="00B91B9C"/>
    <w:rsid w:val="00B92989"/>
    <w:rsid w:val="00B93CEF"/>
    <w:rsid w:val="00BA083E"/>
    <w:rsid w:val="00BA09ED"/>
    <w:rsid w:val="00BA6231"/>
    <w:rsid w:val="00BA6D81"/>
    <w:rsid w:val="00BA78FF"/>
    <w:rsid w:val="00BA7C39"/>
    <w:rsid w:val="00BA7C55"/>
    <w:rsid w:val="00BB150C"/>
    <w:rsid w:val="00BC6323"/>
    <w:rsid w:val="00BC6F22"/>
    <w:rsid w:val="00BD11E7"/>
    <w:rsid w:val="00BD2353"/>
    <w:rsid w:val="00BD4CA1"/>
    <w:rsid w:val="00BD6734"/>
    <w:rsid w:val="00BD71AB"/>
    <w:rsid w:val="00BE4B74"/>
    <w:rsid w:val="00BE7EB0"/>
    <w:rsid w:val="00BF02D7"/>
    <w:rsid w:val="00BF030C"/>
    <w:rsid w:val="00BF508D"/>
    <w:rsid w:val="00BF6568"/>
    <w:rsid w:val="00C00477"/>
    <w:rsid w:val="00C01B48"/>
    <w:rsid w:val="00C041F6"/>
    <w:rsid w:val="00C04934"/>
    <w:rsid w:val="00C04EB0"/>
    <w:rsid w:val="00C075C8"/>
    <w:rsid w:val="00C078F6"/>
    <w:rsid w:val="00C07FC9"/>
    <w:rsid w:val="00C13F2B"/>
    <w:rsid w:val="00C222D8"/>
    <w:rsid w:val="00C23D72"/>
    <w:rsid w:val="00C2402A"/>
    <w:rsid w:val="00C25396"/>
    <w:rsid w:val="00C26263"/>
    <w:rsid w:val="00C31A64"/>
    <w:rsid w:val="00C35C06"/>
    <w:rsid w:val="00C37587"/>
    <w:rsid w:val="00C4535A"/>
    <w:rsid w:val="00C469B6"/>
    <w:rsid w:val="00C511A7"/>
    <w:rsid w:val="00C515D6"/>
    <w:rsid w:val="00C52AD7"/>
    <w:rsid w:val="00C52F77"/>
    <w:rsid w:val="00C5356D"/>
    <w:rsid w:val="00C5573C"/>
    <w:rsid w:val="00C625CD"/>
    <w:rsid w:val="00C659BB"/>
    <w:rsid w:val="00C6639F"/>
    <w:rsid w:val="00C71850"/>
    <w:rsid w:val="00C72278"/>
    <w:rsid w:val="00C7697E"/>
    <w:rsid w:val="00C769FF"/>
    <w:rsid w:val="00C817D5"/>
    <w:rsid w:val="00C8235B"/>
    <w:rsid w:val="00C83812"/>
    <w:rsid w:val="00C83A8E"/>
    <w:rsid w:val="00C8540C"/>
    <w:rsid w:val="00C93B9A"/>
    <w:rsid w:val="00C95DEE"/>
    <w:rsid w:val="00C973AC"/>
    <w:rsid w:val="00C97464"/>
    <w:rsid w:val="00CA15BC"/>
    <w:rsid w:val="00CA24A6"/>
    <w:rsid w:val="00CA2E07"/>
    <w:rsid w:val="00CB2CCB"/>
    <w:rsid w:val="00CB7351"/>
    <w:rsid w:val="00CC263C"/>
    <w:rsid w:val="00CC26B1"/>
    <w:rsid w:val="00CC4CCE"/>
    <w:rsid w:val="00CD1729"/>
    <w:rsid w:val="00CD2F81"/>
    <w:rsid w:val="00CD35B3"/>
    <w:rsid w:val="00CD6164"/>
    <w:rsid w:val="00CE0264"/>
    <w:rsid w:val="00CE1475"/>
    <w:rsid w:val="00CE148F"/>
    <w:rsid w:val="00CE191C"/>
    <w:rsid w:val="00CE1F67"/>
    <w:rsid w:val="00CE3C96"/>
    <w:rsid w:val="00CE4CF2"/>
    <w:rsid w:val="00CE671B"/>
    <w:rsid w:val="00CE7F6D"/>
    <w:rsid w:val="00CF2EB7"/>
    <w:rsid w:val="00D00AB7"/>
    <w:rsid w:val="00D04BFA"/>
    <w:rsid w:val="00D143F8"/>
    <w:rsid w:val="00D15C10"/>
    <w:rsid w:val="00D15CFD"/>
    <w:rsid w:val="00D23F89"/>
    <w:rsid w:val="00D30C5C"/>
    <w:rsid w:val="00D30EA1"/>
    <w:rsid w:val="00D32C83"/>
    <w:rsid w:val="00D33DB9"/>
    <w:rsid w:val="00D35727"/>
    <w:rsid w:val="00D42CE9"/>
    <w:rsid w:val="00D45E66"/>
    <w:rsid w:val="00D522CB"/>
    <w:rsid w:val="00D56F47"/>
    <w:rsid w:val="00D6404A"/>
    <w:rsid w:val="00D64069"/>
    <w:rsid w:val="00D64411"/>
    <w:rsid w:val="00D662B0"/>
    <w:rsid w:val="00D669CD"/>
    <w:rsid w:val="00D70791"/>
    <w:rsid w:val="00D70C38"/>
    <w:rsid w:val="00D72E5D"/>
    <w:rsid w:val="00D7385F"/>
    <w:rsid w:val="00D73FCC"/>
    <w:rsid w:val="00D7444F"/>
    <w:rsid w:val="00D75864"/>
    <w:rsid w:val="00D763E0"/>
    <w:rsid w:val="00D83F53"/>
    <w:rsid w:val="00D84ED6"/>
    <w:rsid w:val="00D85BE3"/>
    <w:rsid w:val="00D86627"/>
    <w:rsid w:val="00D866E4"/>
    <w:rsid w:val="00D87D1C"/>
    <w:rsid w:val="00D87E40"/>
    <w:rsid w:val="00D9045F"/>
    <w:rsid w:val="00D9268E"/>
    <w:rsid w:val="00D93345"/>
    <w:rsid w:val="00D95DC9"/>
    <w:rsid w:val="00D9757B"/>
    <w:rsid w:val="00DA0244"/>
    <w:rsid w:val="00DA26BE"/>
    <w:rsid w:val="00DB1540"/>
    <w:rsid w:val="00DB5C92"/>
    <w:rsid w:val="00DB5E14"/>
    <w:rsid w:val="00DB7A99"/>
    <w:rsid w:val="00DC033C"/>
    <w:rsid w:val="00DD5A6D"/>
    <w:rsid w:val="00DD6D95"/>
    <w:rsid w:val="00DE057F"/>
    <w:rsid w:val="00DE25C9"/>
    <w:rsid w:val="00DE3F43"/>
    <w:rsid w:val="00DE5789"/>
    <w:rsid w:val="00DF0E5D"/>
    <w:rsid w:val="00DF4A73"/>
    <w:rsid w:val="00DF5547"/>
    <w:rsid w:val="00DF5784"/>
    <w:rsid w:val="00DF6839"/>
    <w:rsid w:val="00E02840"/>
    <w:rsid w:val="00E047A5"/>
    <w:rsid w:val="00E05866"/>
    <w:rsid w:val="00E06B70"/>
    <w:rsid w:val="00E12C41"/>
    <w:rsid w:val="00E1394D"/>
    <w:rsid w:val="00E153BF"/>
    <w:rsid w:val="00E16CA3"/>
    <w:rsid w:val="00E20200"/>
    <w:rsid w:val="00E20A84"/>
    <w:rsid w:val="00E22826"/>
    <w:rsid w:val="00E22E1F"/>
    <w:rsid w:val="00E23252"/>
    <w:rsid w:val="00E243DD"/>
    <w:rsid w:val="00E25B1F"/>
    <w:rsid w:val="00E26421"/>
    <w:rsid w:val="00E27FD9"/>
    <w:rsid w:val="00E34EB7"/>
    <w:rsid w:val="00E35C36"/>
    <w:rsid w:val="00E36C98"/>
    <w:rsid w:val="00E37462"/>
    <w:rsid w:val="00E422EB"/>
    <w:rsid w:val="00E45F0B"/>
    <w:rsid w:val="00E474FA"/>
    <w:rsid w:val="00E51503"/>
    <w:rsid w:val="00E51A04"/>
    <w:rsid w:val="00E52B73"/>
    <w:rsid w:val="00E546FA"/>
    <w:rsid w:val="00E54975"/>
    <w:rsid w:val="00E55B9D"/>
    <w:rsid w:val="00E628C2"/>
    <w:rsid w:val="00E71AF3"/>
    <w:rsid w:val="00E75136"/>
    <w:rsid w:val="00E755FB"/>
    <w:rsid w:val="00E75F5E"/>
    <w:rsid w:val="00E823D4"/>
    <w:rsid w:val="00E8468A"/>
    <w:rsid w:val="00E84A9D"/>
    <w:rsid w:val="00E860FD"/>
    <w:rsid w:val="00E876BE"/>
    <w:rsid w:val="00E9003B"/>
    <w:rsid w:val="00E93A99"/>
    <w:rsid w:val="00E93CBF"/>
    <w:rsid w:val="00E942A7"/>
    <w:rsid w:val="00E95A4D"/>
    <w:rsid w:val="00E96697"/>
    <w:rsid w:val="00E974F7"/>
    <w:rsid w:val="00EA0A7C"/>
    <w:rsid w:val="00EA2970"/>
    <w:rsid w:val="00EA3B72"/>
    <w:rsid w:val="00EB05A4"/>
    <w:rsid w:val="00EB0676"/>
    <w:rsid w:val="00EB0F3C"/>
    <w:rsid w:val="00EB1169"/>
    <w:rsid w:val="00EB12FA"/>
    <w:rsid w:val="00EB1FAA"/>
    <w:rsid w:val="00EB4108"/>
    <w:rsid w:val="00EB4F4C"/>
    <w:rsid w:val="00EB7919"/>
    <w:rsid w:val="00EB7BDE"/>
    <w:rsid w:val="00EC16FD"/>
    <w:rsid w:val="00EC2775"/>
    <w:rsid w:val="00EC3A4F"/>
    <w:rsid w:val="00EC50B8"/>
    <w:rsid w:val="00EC7700"/>
    <w:rsid w:val="00ED1079"/>
    <w:rsid w:val="00ED18D4"/>
    <w:rsid w:val="00ED236C"/>
    <w:rsid w:val="00ED746B"/>
    <w:rsid w:val="00EE02C9"/>
    <w:rsid w:val="00EE1644"/>
    <w:rsid w:val="00EE35C9"/>
    <w:rsid w:val="00EE5A87"/>
    <w:rsid w:val="00EE71B8"/>
    <w:rsid w:val="00EF14D5"/>
    <w:rsid w:val="00EF6CEE"/>
    <w:rsid w:val="00EF6E60"/>
    <w:rsid w:val="00EF77AC"/>
    <w:rsid w:val="00F00191"/>
    <w:rsid w:val="00F01329"/>
    <w:rsid w:val="00F01D21"/>
    <w:rsid w:val="00F030AB"/>
    <w:rsid w:val="00F03BFB"/>
    <w:rsid w:val="00F040A6"/>
    <w:rsid w:val="00F043D8"/>
    <w:rsid w:val="00F10654"/>
    <w:rsid w:val="00F1583F"/>
    <w:rsid w:val="00F2300D"/>
    <w:rsid w:val="00F2425C"/>
    <w:rsid w:val="00F2616E"/>
    <w:rsid w:val="00F274E2"/>
    <w:rsid w:val="00F302AB"/>
    <w:rsid w:val="00F31767"/>
    <w:rsid w:val="00F31A7A"/>
    <w:rsid w:val="00F32D32"/>
    <w:rsid w:val="00F3551A"/>
    <w:rsid w:val="00F41454"/>
    <w:rsid w:val="00F4209B"/>
    <w:rsid w:val="00F50BB3"/>
    <w:rsid w:val="00F5190D"/>
    <w:rsid w:val="00F52E0B"/>
    <w:rsid w:val="00F54DB3"/>
    <w:rsid w:val="00F57180"/>
    <w:rsid w:val="00F641F7"/>
    <w:rsid w:val="00F65693"/>
    <w:rsid w:val="00F6616D"/>
    <w:rsid w:val="00F67BE5"/>
    <w:rsid w:val="00F72621"/>
    <w:rsid w:val="00F736C5"/>
    <w:rsid w:val="00F73B5E"/>
    <w:rsid w:val="00F74C4C"/>
    <w:rsid w:val="00F77596"/>
    <w:rsid w:val="00F8028B"/>
    <w:rsid w:val="00F807AE"/>
    <w:rsid w:val="00F8147C"/>
    <w:rsid w:val="00F82A63"/>
    <w:rsid w:val="00F82F4F"/>
    <w:rsid w:val="00F835D9"/>
    <w:rsid w:val="00F836FA"/>
    <w:rsid w:val="00F83BAE"/>
    <w:rsid w:val="00F856CB"/>
    <w:rsid w:val="00F928FC"/>
    <w:rsid w:val="00F92C36"/>
    <w:rsid w:val="00F95FAA"/>
    <w:rsid w:val="00F97E44"/>
    <w:rsid w:val="00FA103D"/>
    <w:rsid w:val="00FA1649"/>
    <w:rsid w:val="00FA3D15"/>
    <w:rsid w:val="00FA440A"/>
    <w:rsid w:val="00FA4FB9"/>
    <w:rsid w:val="00FB172D"/>
    <w:rsid w:val="00FB365D"/>
    <w:rsid w:val="00FB3D83"/>
    <w:rsid w:val="00FB47EE"/>
    <w:rsid w:val="00FB4FA9"/>
    <w:rsid w:val="00FB5F69"/>
    <w:rsid w:val="00FB5FCF"/>
    <w:rsid w:val="00FB642A"/>
    <w:rsid w:val="00FB6508"/>
    <w:rsid w:val="00FC7183"/>
    <w:rsid w:val="00FD0B50"/>
    <w:rsid w:val="00FD4620"/>
    <w:rsid w:val="00FE02F1"/>
    <w:rsid w:val="00FE1AB1"/>
    <w:rsid w:val="00FE4345"/>
    <w:rsid w:val="00FE4394"/>
    <w:rsid w:val="00FE4F9D"/>
    <w:rsid w:val="00FE5C66"/>
    <w:rsid w:val="00FF18D8"/>
    <w:rsid w:val="00FF407C"/>
    <w:rsid w:val="00FF7065"/>
    <w:rsid w:val="010336F4"/>
    <w:rsid w:val="010F589C"/>
    <w:rsid w:val="013E3D43"/>
    <w:rsid w:val="01697289"/>
    <w:rsid w:val="0184495F"/>
    <w:rsid w:val="018E7867"/>
    <w:rsid w:val="01CA4491"/>
    <w:rsid w:val="023A5140"/>
    <w:rsid w:val="02774660"/>
    <w:rsid w:val="02814708"/>
    <w:rsid w:val="02A8304A"/>
    <w:rsid w:val="02D179BF"/>
    <w:rsid w:val="033D3C53"/>
    <w:rsid w:val="0344299F"/>
    <w:rsid w:val="035455A2"/>
    <w:rsid w:val="037B46E6"/>
    <w:rsid w:val="03AB2463"/>
    <w:rsid w:val="03EC2141"/>
    <w:rsid w:val="04063189"/>
    <w:rsid w:val="041122EF"/>
    <w:rsid w:val="04204476"/>
    <w:rsid w:val="04416CBF"/>
    <w:rsid w:val="044C0471"/>
    <w:rsid w:val="044D662D"/>
    <w:rsid w:val="04722FB4"/>
    <w:rsid w:val="04797DA8"/>
    <w:rsid w:val="04837A5D"/>
    <w:rsid w:val="04871B46"/>
    <w:rsid w:val="048E2221"/>
    <w:rsid w:val="04994D11"/>
    <w:rsid w:val="049C218A"/>
    <w:rsid w:val="04D96538"/>
    <w:rsid w:val="052A208A"/>
    <w:rsid w:val="054E09DA"/>
    <w:rsid w:val="055311BD"/>
    <w:rsid w:val="05563298"/>
    <w:rsid w:val="059D2083"/>
    <w:rsid w:val="05DC1669"/>
    <w:rsid w:val="05E5373F"/>
    <w:rsid w:val="06181323"/>
    <w:rsid w:val="064405AD"/>
    <w:rsid w:val="065D7079"/>
    <w:rsid w:val="066F3883"/>
    <w:rsid w:val="067C6A9F"/>
    <w:rsid w:val="068E2826"/>
    <w:rsid w:val="068F3DBA"/>
    <w:rsid w:val="069A5C0C"/>
    <w:rsid w:val="06E83EDB"/>
    <w:rsid w:val="072A4A2A"/>
    <w:rsid w:val="07526F5D"/>
    <w:rsid w:val="0765110E"/>
    <w:rsid w:val="0775270C"/>
    <w:rsid w:val="07786AE2"/>
    <w:rsid w:val="079367BD"/>
    <w:rsid w:val="080E5677"/>
    <w:rsid w:val="08832778"/>
    <w:rsid w:val="0894460F"/>
    <w:rsid w:val="08CD32CD"/>
    <w:rsid w:val="09421824"/>
    <w:rsid w:val="09A759A1"/>
    <w:rsid w:val="09D9539A"/>
    <w:rsid w:val="09E803E2"/>
    <w:rsid w:val="0A0B32C0"/>
    <w:rsid w:val="0A2220CC"/>
    <w:rsid w:val="0A363AFA"/>
    <w:rsid w:val="0A740DE3"/>
    <w:rsid w:val="0A7608D9"/>
    <w:rsid w:val="0A8825F5"/>
    <w:rsid w:val="0A8F150A"/>
    <w:rsid w:val="0A9E3E55"/>
    <w:rsid w:val="0AB54868"/>
    <w:rsid w:val="0ABB316A"/>
    <w:rsid w:val="0AD03E72"/>
    <w:rsid w:val="0AE07F2C"/>
    <w:rsid w:val="0AF33C99"/>
    <w:rsid w:val="0B4B374B"/>
    <w:rsid w:val="0B7A62F0"/>
    <w:rsid w:val="0B9F66E0"/>
    <w:rsid w:val="0BC37DC1"/>
    <w:rsid w:val="0BE425C1"/>
    <w:rsid w:val="0BE91558"/>
    <w:rsid w:val="0C047E63"/>
    <w:rsid w:val="0C117D13"/>
    <w:rsid w:val="0C621340"/>
    <w:rsid w:val="0C8939BB"/>
    <w:rsid w:val="0C8E57DD"/>
    <w:rsid w:val="0CCB473F"/>
    <w:rsid w:val="0D491420"/>
    <w:rsid w:val="0D590B07"/>
    <w:rsid w:val="0D6324B3"/>
    <w:rsid w:val="0D7F4558"/>
    <w:rsid w:val="0D8701A0"/>
    <w:rsid w:val="0DAE6BD0"/>
    <w:rsid w:val="0DBD3257"/>
    <w:rsid w:val="0DC37A75"/>
    <w:rsid w:val="0DC567F3"/>
    <w:rsid w:val="0E226FE1"/>
    <w:rsid w:val="0E287205"/>
    <w:rsid w:val="0E363F9F"/>
    <w:rsid w:val="0E4530B5"/>
    <w:rsid w:val="0EAC748A"/>
    <w:rsid w:val="0EDF6FAE"/>
    <w:rsid w:val="0F042344"/>
    <w:rsid w:val="0F276E77"/>
    <w:rsid w:val="0F34036D"/>
    <w:rsid w:val="0F3B5A00"/>
    <w:rsid w:val="0F672B35"/>
    <w:rsid w:val="0F75449C"/>
    <w:rsid w:val="0F8F406F"/>
    <w:rsid w:val="0FB56A0A"/>
    <w:rsid w:val="0FBB35AD"/>
    <w:rsid w:val="0FC72E29"/>
    <w:rsid w:val="0FEC356E"/>
    <w:rsid w:val="0FFA3C1C"/>
    <w:rsid w:val="0FFE2AE7"/>
    <w:rsid w:val="10022AD1"/>
    <w:rsid w:val="10186361"/>
    <w:rsid w:val="10243B86"/>
    <w:rsid w:val="102C7CD0"/>
    <w:rsid w:val="102E6135"/>
    <w:rsid w:val="103A0EA6"/>
    <w:rsid w:val="107C6D27"/>
    <w:rsid w:val="108B3A3D"/>
    <w:rsid w:val="109D022F"/>
    <w:rsid w:val="10AC58FA"/>
    <w:rsid w:val="10B4328E"/>
    <w:rsid w:val="10D845EC"/>
    <w:rsid w:val="10EA1F58"/>
    <w:rsid w:val="112525A3"/>
    <w:rsid w:val="11433ADF"/>
    <w:rsid w:val="115A75AE"/>
    <w:rsid w:val="115B577F"/>
    <w:rsid w:val="11974939"/>
    <w:rsid w:val="11A20F9A"/>
    <w:rsid w:val="11B00A36"/>
    <w:rsid w:val="11D975B4"/>
    <w:rsid w:val="121449C6"/>
    <w:rsid w:val="12351C69"/>
    <w:rsid w:val="125B3F30"/>
    <w:rsid w:val="12612C4F"/>
    <w:rsid w:val="12677355"/>
    <w:rsid w:val="12980181"/>
    <w:rsid w:val="12A87A1B"/>
    <w:rsid w:val="12AC7703"/>
    <w:rsid w:val="12C90AF1"/>
    <w:rsid w:val="12CD54C5"/>
    <w:rsid w:val="1337388B"/>
    <w:rsid w:val="1339376F"/>
    <w:rsid w:val="135261E6"/>
    <w:rsid w:val="136A730B"/>
    <w:rsid w:val="138458CC"/>
    <w:rsid w:val="13953F0A"/>
    <w:rsid w:val="13CA0F9E"/>
    <w:rsid w:val="13F2200A"/>
    <w:rsid w:val="13FB5DD0"/>
    <w:rsid w:val="14082C48"/>
    <w:rsid w:val="14094DCF"/>
    <w:rsid w:val="14136155"/>
    <w:rsid w:val="144C4D0E"/>
    <w:rsid w:val="14800207"/>
    <w:rsid w:val="14832432"/>
    <w:rsid w:val="14C23BC4"/>
    <w:rsid w:val="14DE6FA1"/>
    <w:rsid w:val="14EA7061"/>
    <w:rsid w:val="14F7571D"/>
    <w:rsid w:val="150D59C4"/>
    <w:rsid w:val="151D2A4B"/>
    <w:rsid w:val="15290DC2"/>
    <w:rsid w:val="15544194"/>
    <w:rsid w:val="15614D0C"/>
    <w:rsid w:val="15657A4D"/>
    <w:rsid w:val="1568351C"/>
    <w:rsid w:val="15831609"/>
    <w:rsid w:val="15B34497"/>
    <w:rsid w:val="16082FF6"/>
    <w:rsid w:val="16310B2C"/>
    <w:rsid w:val="16A12ABB"/>
    <w:rsid w:val="16A363AF"/>
    <w:rsid w:val="16B010AD"/>
    <w:rsid w:val="16B57DA5"/>
    <w:rsid w:val="16C2255F"/>
    <w:rsid w:val="16D76DDF"/>
    <w:rsid w:val="17456E3C"/>
    <w:rsid w:val="174D4137"/>
    <w:rsid w:val="175667AA"/>
    <w:rsid w:val="17951183"/>
    <w:rsid w:val="17B92D93"/>
    <w:rsid w:val="17BA75FC"/>
    <w:rsid w:val="17D2719F"/>
    <w:rsid w:val="17EA6DDC"/>
    <w:rsid w:val="180908CB"/>
    <w:rsid w:val="181A6985"/>
    <w:rsid w:val="1851727C"/>
    <w:rsid w:val="18565AD4"/>
    <w:rsid w:val="187825D1"/>
    <w:rsid w:val="18856DFA"/>
    <w:rsid w:val="18D00FAE"/>
    <w:rsid w:val="18E979DE"/>
    <w:rsid w:val="19037FE5"/>
    <w:rsid w:val="192415F9"/>
    <w:rsid w:val="192C4943"/>
    <w:rsid w:val="19511200"/>
    <w:rsid w:val="19546A7D"/>
    <w:rsid w:val="196B45A2"/>
    <w:rsid w:val="19965906"/>
    <w:rsid w:val="19A651BC"/>
    <w:rsid w:val="19C77265"/>
    <w:rsid w:val="1A0031AB"/>
    <w:rsid w:val="1A023055"/>
    <w:rsid w:val="1A0F7277"/>
    <w:rsid w:val="1A1C2C36"/>
    <w:rsid w:val="1A436CEA"/>
    <w:rsid w:val="1A48078E"/>
    <w:rsid w:val="1A6A3022"/>
    <w:rsid w:val="1A752A27"/>
    <w:rsid w:val="1A760F34"/>
    <w:rsid w:val="1AB44171"/>
    <w:rsid w:val="1AD57C7E"/>
    <w:rsid w:val="1ADB7038"/>
    <w:rsid w:val="1AF56684"/>
    <w:rsid w:val="1B055DED"/>
    <w:rsid w:val="1B110C27"/>
    <w:rsid w:val="1B4E56E4"/>
    <w:rsid w:val="1B5D63FA"/>
    <w:rsid w:val="1B857B57"/>
    <w:rsid w:val="1B9D5581"/>
    <w:rsid w:val="1BA061D2"/>
    <w:rsid w:val="1BA618E2"/>
    <w:rsid w:val="1BB53962"/>
    <w:rsid w:val="1BB85B33"/>
    <w:rsid w:val="1C861AD4"/>
    <w:rsid w:val="1C9D0969"/>
    <w:rsid w:val="1C9F37AD"/>
    <w:rsid w:val="1CF3509D"/>
    <w:rsid w:val="1D2C6FF4"/>
    <w:rsid w:val="1D637110"/>
    <w:rsid w:val="1D6F60DF"/>
    <w:rsid w:val="1DA417A6"/>
    <w:rsid w:val="1DD6701A"/>
    <w:rsid w:val="1DEF6D8A"/>
    <w:rsid w:val="1DFA3A94"/>
    <w:rsid w:val="1E1E5D1D"/>
    <w:rsid w:val="1E6F0984"/>
    <w:rsid w:val="1E8A0830"/>
    <w:rsid w:val="1EA616CF"/>
    <w:rsid w:val="1EAA4F8C"/>
    <w:rsid w:val="1EB015AF"/>
    <w:rsid w:val="1ECF5B0F"/>
    <w:rsid w:val="1EEB09D9"/>
    <w:rsid w:val="1F8D7B1B"/>
    <w:rsid w:val="1F9A7A5A"/>
    <w:rsid w:val="1FA411FB"/>
    <w:rsid w:val="1FA81D94"/>
    <w:rsid w:val="1FC216C1"/>
    <w:rsid w:val="200C2E85"/>
    <w:rsid w:val="205D3861"/>
    <w:rsid w:val="20A939B9"/>
    <w:rsid w:val="20E034E5"/>
    <w:rsid w:val="21383798"/>
    <w:rsid w:val="214B5DE8"/>
    <w:rsid w:val="21697E50"/>
    <w:rsid w:val="2193228F"/>
    <w:rsid w:val="21980475"/>
    <w:rsid w:val="21995A35"/>
    <w:rsid w:val="21DD2BDF"/>
    <w:rsid w:val="21ED68F6"/>
    <w:rsid w:val="22151077"/>
    <w:rsid w:val="222205E8"/>
    <w:rsid w:val="224514A8"/>
    <w:rsid w:val="22534F71"/>
    <w:rsid w:val="22A76DE4"/>
    <w:rsid w:val="231C2DF2"/>
    <w:rsid w:val="23315C03"/>
    <w:rsid w:val="23481387"/>
    <w:rsid w:val="23750C12"/>
    <w:rsid w:val="23891C4F"/>
    <w:rsid w:val="23981D4A"/>
    <w:rsid w:val="23B35297"/>
    <w:rsid w:val="23E27E11"/>
    <w:rsid w:val="23E8292B"/>
    <w:rsid w:val="23FB19FC"/>
    <w:rsid w:val="242C169D"/>
    <w:rsid w:val="2438569A"/>
    <w:rsid w:val="245A2A47"/>
    <w:rsid w:val="245B02B6"/>
    <w:rsid w:val="2461572D"/>
    <w:rsid w:val="24750FB9"/>
    <w:rsid w:val="24830FBE"/>
    <w:rsid w:val="24A2425B"/>
    <w:rsid w:val="24AE2D16"/>
    <w:rsid w:val="24AE3867"/>
    <w:rsid w:val="24CA196B"/>
    <w:rsid w:val="24F353B2"/>
    <w:rsid w:val="250072F2"/>
    <w:rsid w:val="25047136"/>
    <w:rsid w:val="250F6497"/>
    <w:rsid w:val="254C1FED"/>
    <w:rsid w:val="25630175"/>
    <w:rsid w:val="25767E99"/>
    <w:rsid w:val="25A84EC0"/>
    <w:rsid w:val="25B55DE5"/>
    <w:rsid w:val="25D53129"/>
    <w:rsid w:val="2605612D"/>
    <w:rsid w:val="2607705C"/>
    <w:rsid w:val="269A5854"/>
    <w:rsid w:val="26C67E71"/>
    <w:rsid w:val="26D0247E"/>
    <w:rsid w:val="26E77D88"/>
    <w:rsid w:val="26F522F7"/>
    <w:rsid w:val="26F9775C"/>
    <w:rsid w:val="270F34D8"/>
    <w:rsid w:val="271B6EA7"/>
    <w:rsid w:val="27200AD1"/>
    <w:rsid w:val="27683775"/>
    <w:rsid w:val="277A6073"/>
    <w:rsid w:val="27D41AC7"/>
    <w:rsid w:val="2842631F"/>
    <w:rsid w:val="284B7DC1"/>
    <w:rsid w:val="285B13AE"/>
    <w:rsid w:val="28774D96"/>
    <w:rsid w:val="288F0D2D"/>
    <w:rsid w:val="2892116C"/>
    <w:rsid w:val="28A16CF8"/>
    <w:rsid w:val="28A5531F"/>
    <w:rsid w:val="28AD0B93"/>
    <w:rsid w:val="28D370D8"/>
    <w:rsid w:val="290E0884"/>
    <w:rsid w:val="292A61FD"/>
    <w:rsid w:val="294A6BF8"/>
    <w:rsid w:val="29511CE6"/>
    <w:rsid w:val="29514701"/>
    <w:rsid w:val="2955722F"/>
    <w:rsid w:val="29613068"/>
    <w:rsid w:val="29925035"/>
    <w:rsid w:val="29A51FC3"/>
    <w:rsid w:val="29AC53EE"/>
    <w:rsid w:val="29B860C9"/>
    <w:rsid w:val="29CA4185"/>
    <w:rsid w:val="29D83569"/>
    <w:rsid w:val="2A067BAE"/>
    <w:rsid w:val="2A0C174B"/>
    <w:rsid w:val="2A5C638F"/>
    <w:rsid w:val="2A6217A1"/>
    <w:rsid w:val="2AA91242"/>
    <w:rsid w:val="2AE07236"/>
    <w:rsid w:val="2AE7592A"/>
    <w:rsid w:val="2B117770"/>
    <w:rsid w:val="2B2814FA"/>
    <w:rsid w:val="2B3E149E"/>
    <w:rsid w:val="2B5D71AD"/>
    <w:rsid w:val="2B7F1BE1"/>
    <w:rsid w:val="2BB47A96"/>
    <w:rsid w:val="2BD420D6"/>
    <w:rsid w:val="2BF1507F"/>
    <w:rsid w:val="2C694CBC"/>
    <w:rsid w:val="2C751DA3"/>
    <w:rsid w:val="2C882DDE"/>
    <w:rsid w:val="2C8B5ED0"/>
    <w:rsid w:val="2CA12D1D"/>
    <w:rsid w:val="2CB745C8"/>
    <w:rsid w:val="2D043AA6"/>
    <w:rsid w:val="2D3848D1"/>
    <w:rsid w:val="2D4F4E2A"/>
    <w:rsid w:val="2D831A06"/>
    <w:rsid w:val="2D86564C"/>
    <w:rsid w:val="2DC21851"/>
    <w:rsid w:val="2DDF2739"/>
    <w:rsid w:val="2E21648D"/>
    <w:rsid w:val="2E3956B7"/>
    <w:rsid w:val="2E8E3B5D"/>
    <w:rsid w:val="2EA43203"/>
    <w:rsid w:val="2EAC33FC"/>
    <w:rsid w:val="2EAF7A41"/>
    <w:rsid w:val="2EF222D4"/>
    <w:rsid w:val="2F155F69"/>
    <w:rsid w:val="2F60331F"/>
    <w:rsid w:val="2F6729CB"/>
    <w:rsid w:val="2F796FA5"/>
    <w:rsid w:val="2FAE48A9"/>
    <w:rsid w:val="2FD84031"/>
    <w:rsid w:val="2FF32C4B"/>
    <w:rsid w:val="3006066B"/>
    <w:rsid w:val="30475A66"/>
    <w:rsid w:val="304C67A9"/>
    <w:rsid w:val="308F7D1E"/>
    <w:rsid w:val="30901D07"/>
    <w:rsid w:val="30AD4AD0"/>
    <w:rsid w:val="30B55C78"/>
    <w:rsid w:val="30BE5EDB"/>
    <w:rsid w:val="30C300BA"/>
    <w:rsid w:val="30DC7DC1"/>
    <w:rsid w:val="30FB255C"/>
    <w:rsid w:val="31C475C1"/>
    <w:rsid w:val="31C5787B"/>
    <w:rsid w:val="31C65706"/>
    <w:rsid w:val="31E347EC"/>
    <w:rsid w:val="31ED3466"/>
    <w:rsid w:val="321021D4"/>
    <w:rsid w:val="32154FA9"/>
    <w:rsid w:val="321E0772"/>
    <w:rsid w:val="32460C20"/>
    <w:rsid w:val="32AE3FC3"/>
    <w:rsid w:val="32B44CE8"/>
    <w:rsid w:val="32B931D3"/>
    <w:rsid w:val="32FA5BAF"/>
    <w:rsid w:val="33224442"/>
    <w:rsid w:val="332C4855"/>
    <w:rsid w:val="33611959"/>
    <w:rsid w:val="336437EF"/>
    <w:rsid w:val="337F1EDC"/>
    <w:rsid w:val="33C26689"/>
    <w:rsid w:val="33C94D59"/>
    <w:rsid w:val="33E32FF5"/>
    <w:rsid w:val="33F63120"/>
    <w:rsid w:val="34056568"/>
    <w:rsid w:val="344E3357"/>
    <w:rsid w:val="34552C77"/>
    <w:rsid w:val="346A5E82"/>
    <w:rsid w:val="347A79B7"/>
    <w:rsid w:val="34AE2919"/>
    <w:rsid w:val="34B5478B"/>
    <w:rsid w:val="34BE6475"/>
    <w:rsid w:val="34ED5231"/>
    <w:rsid w:val="34FC39B0"/>
    <w:rsid w:val="34FD4FFB"/>
    <w:rsid w:val="353F1C93"/>
    <w:rsid w:val="356B2B4B"/>
    <w:rsid w:val="356F2A1D"/>
    <w:rsid w:val="35730ECB"/>
    <w:rsid w:val="35770995"/>
    <w:rsid w:val="35810C26"/>
    <w:rsid w:val="35E81E8F"/>
    <w:rsid w:val="35F72FE4"/>
    <w:rsid w:val="36183A39"/>
    <w:rsid w:val="36590287"/>
    <w:rsid w:val="366A4B80"/>
    <w:rsid w:val="36852DE9"/>
    <w:rsid w:val="36AC3746"/>
    <w:rsid w:val="36C55837"/>
    <w:rsid w:val="36CB602C"/>
    <w:rsid w:val="36E65DD7"/>
    <w:rsid w:val="375C0B95"/>
    <w:rsid w:val="375E7A18"/>
    <w:rsid w:val="37606731"/>
    <w:rsid w:val="37632F56"/>
    <w:rsid w:val="37B63F71"/>
    <w:rsid w:val="37C5629A"/>
    <w:rsid w:val="3821593A"/>
    <w:rsid w:val="38712C0D"/>
    <w:rsid w:val="38834DE9"/>
    <w:rsid w:val="38893429"/>
    <w:rsid w:val="38A653F3"/>
    <w:rsid w:val="38EB711A"/>
    <w:rsid w:val="38F17F44"/>
    <w:rsid w:val="38F95061"/>
    <w:rsid w:val="392E2B86"/>
    <w:rsid w:val="394071B4"/>
    <w:rsid w:val="394551CF"/>
    <w:rsid w:val="395D5708"/>
    <w:rsid w:val="3963267C"/>
    <w:rsid w:val="398E34A3"/>
    <w:rsid w:val="399D1F7A"/>
    <w:rsid w:val="39BA1EC9"/>
    <w:rsid w:val="39BE38E2"/>
    <w:rsid w:val="39CA58D9"/>
    <w:rsid w:val="39EA4A27"/>
    <w:rsid w:val="3A066D9F"/>
    <w:rsid w:val="3A487725"/>
    <w:rsid w:val="3A494F77"/>
    <w:rsid w:val="3A4B6EF6"/>
    <w:rsid w:val="3A6F5A33"/>
    <w:rsid w:val="3A817086"/>
    <w:rsid w:val="3AE2539A"/>
    <w:rsid w:val="3B205823"/>
    <w:rsid w:val="3B3E59AF"/>
    <w:rsid w:val="3B582D57"/>
    <w:rsid w:val="3B90705F"/>
    <w:rsid w:val="3B975C94"/>
    <w:rsid w:val="3BC179E2"/>
    <w:rsid w:val="3C202D31"/>
    <w:rsid w:val="3C3758D7"/>
    <w:rsid w:val="3C591CBC"/>
    <w:rsid w:val="3C7624A0"/>
    <w:rsid w:val="3CB8062D"/>
    <w:rsid w:val="3CE662C3"/>
    <w:rsid w:val="3D265426"/>
    <w:rsid w:val="3D3629BE"/>
    <w:rsid w:val="3D367751"/>
    <w:rsid w:val="3D45031D"/>
    <w:rsid w:val="3D541CC3"/>
    <w:rsid w:val="3D6A6CFE"/>
    <w:rsid w:val="3D6E0931"/>
    <w:rsid w:val="3D7872A9"/>
    <w:rsid w:val="3E095B49"/>
    <w:rsid w:val="3E167032"/>
    <w:rsid w:val="3E263B40"/>
    <w:rsid w:val="3E442DAF"/>
    <w:rsid w:val="3E593015"/>
    <w:rsid w:val="3E891EA8"/>
    <w:rsid w:val="3EB6730E"/>
    <w:rsid w:val="3EC10015"/>
    <w:rsid w:val="3EC242D8"/>
    <w:rsid w:val="3ED7061A"/>
    <w:rsid w:val="3EEE5775"/>
    <w:rsid w:val="3EF773BF"/>
    <w:rsid w:val="3F1057A0"/>
    <w:rsid w:val="3F2F518A"/>
    <w:rsid w:val="3F632CDC"/>
    <w:rsid w:val="3F6F13BE"/>
    <w:rsid w:val="3FC2620B"/>
    <w:rsid w:val="3FFB06A8"/>
    <w:rsid w:val="400E76F1"/>
    <w:rsid w:val="40124A6F"/>
    <w:rsid w:val="40595698"/>
    <w:rsid w:val="4077259B"/>
    <w:rsid w:val="407812B1"/>
    <w:rsid w:val="40E95BCB"/>
    <w:rsid w:val="40EB6816"/>
    <w:rsid w:val="410E24A9"/>
    <w:rsid w:val="412838BB"/>
    <w:rsid w:val="41444F6C"/>
    <w:rsid w:val="4149454F"/>
    <w:rsid w:val="414B5C5B"/>
    <w:rsid w:val="417105DD"/>
    <w:rsid w:val="4171348E"/>
    <w:rsid w:val="417D4DCC"/>
    <w:rsid w:val="41924CC5"/>
    <w:rsid w:val="41BB0F30"/>
    <w:rsid w:val="41C746DC"/>
    <w:rsid w:val="41D521B5"/>
    <w:rsid w:val="41DB630E"/>
    <w:rsid w:val="41F00923"/>
    <w:rsid w:val="427240B6"/>
    <w:rsid w:val="4285201E"/>
    <w:rsid w:val="42852082"/>
    <w:rsid w:val="428915B4"/>
    <w:rsid w:val="42903AEE"/>
    <w:rsid w:val="429C6FBF"/>
    <w:rsid w:val="42C65DA1"/>
    <w:rsid w:val="42E36DDF"/>
    <w:rsid w:val="42E859D2"/>
    <w:rsid w:val="42F35E76"/>
    <w:rsid w:val="43003A42"/>
    <w:rsid w:val="433266D3"/>
    <w:rsid w:val="43787F9E"/>
    <w:rsid w:val="43B904BA"/>
    <w:rsid w:val="43ED2D8C"/>
    <w:rsid w:val="43F07E32"/>
    <w:rsid w:val="43FD725B"/>
    <w:rsid w:val="44190B04"/>
    <w:rsid w:val="441B530B"/>
    <w:rsid w:val="44245845"/>
    <w:rsid w:val="44302676"/>
    <w:rsid w:val="44306937"/>
    <w:rsid w:val="44552FCF"/>
    <w:rsid w:val="445857BB"/>
    <w:rsid w:val="445F1BE2"/>
    <w:rsid w:val="445F2BFB"/>
    <w:rsid w:val="447769DF"/>
    <w:rsid w:val="449965CB"/>
    <w:rsid w:val="44A80A04"/>
    <w:rsid w:val="44B577C6"/>
    <w:rsid w:val="44D04182"/>
    <w:rsid w:val="450864E7"/>
    <w:rsid w:val="45105DC0"/>
    <w:rsid w:val="455C0DF5"/>
    <w:rsid w:val="459F18CA"/>
    <w:rsid w:val="45BC5429"/>
    <w:rsid w:val="45F70C94"/>
    <w:rsid w:val="45FA1728"/>
    <w:rsid w:val="461A4EAF"/>
    <w:rsid w:val="4651202D"/>
    <w:rsid w:val="46517752"/>
    <w:rsid w:val="4654375D"/>
    <w:rsid w:val="46795FE8"/>
    <w:rsid w:val="468D6E89"/>
    <w:rsid w:val="46917AAF"/>
    <w:rsid w:val="46B113B2"/>
    <w:rsid w:val="46ED1AC1"/>
    <w:rsid w:val="47105583"/>
    <w:rsid w:val="471F7E3B"/>
    <w:rsid w:val="473D25C6"/>
    <w:rsid w:val="476907B7"/>
    <w:rsid w:val="47904268"/>
    <w:rsid w:val="47BF152F"/>
    <w:rsid w:val="47C606F7"/>
    <w:rsid w:val="47DD4AE0"/>
    <w:rsid w:val="47F60983"/>
    <w:rsid w:val="47F6247F"/>
    <w:rsid w:val="4826403F"/>
    <w:rsid w:val="484E2FED"/>
    <w:rsid w:val="48725693"/>
    <w:rsid w:val="48752FD8"/>
    <w:rsid w:val="48874269"/>
    <w:rsid w:val="48CD368B"/>
    <w:rsid w:val="49093068"/>
    <w:rsid w:val="49172284"/>
    <w:rsid w:val="4933053F"/>
    <w:rsid w:val="495B2252"/>
    <w:rsid w:val="495C4CF8"/>
    <w:rsid w:val="496338FD"/>
    <w:rsid w:val="496A73DA"/>
    <w:rsid w:val="4971342D"/>
    <w:rsid w:val="49755AE6"/>
    <w:rsid w:val="49970A72"/>
    <w:rsid w:val="49AB1508"/>
    <w:rsid w:val="49AC2C30"/>
    <w:rsid w:val="4A214080"/>
    <w:rsid w:val="4A2A318C"/>
    <w:rsid w:val="4A573916"/>
    <w:rsid w:val="4A5818F3"/>
    <w:rsid w:val="4A591471"/>
    <w:rsid w:val="4A68339D"/>
    <w:rsid w:val="4A7265E5"/>
    <w:rsid w:val="4A881A1C"/>
    <w:rsid w:val="4A975D3F"/>
    <w:rsid w:val="4AAE4882"/>
    <w:rsid w:val="4AB17BEF"/>
    <w:rsid w:val="4AFD4E1F"/>
    <w:rsid w:val="4B1668C5"/>
    <w:rsid w:val="4B8616DA"/>
    <w:rsid w:val="4B9C3266"/>
    <w:rsid w:val="4BAD220D"/>
    <w:rsid w:val="4BCF1CA6"/>
    <w:rsid w:val="4C14364F"/>
    <w:rsid w:val="4C1C18BC"/>
    <w:rsid w:val="4C417527"/>
    <w:rsid w:val="4CB44857"/>
    <w:rsid w:val="4CBC3C0E"/>
    <w:rsid w:val="4CD85B9F"/>
    <w:rsid w:val="4CDB1553"/>
    <w:rsid w:val="4CDC1976"/>
    <w:rsid w:val="4CF1194E"/>
    <w:rsid w:val="4CF874BA"/>
    <w:rsid w:val="4D0B243D"/>
    <w:rsid w:val="4D6364B5"/>
    <w:rsid w:val="4DD042A9"/>
    <w:rsid w:val="4DD81AC0"/>
    <w:rsid w:val="4DEA4CF4"/>
    <w:rsid w:val="4E517AD8"/>
    <w:rsid w:val="4E614D37"/>
    <w:rsid w:val="4E702A20"/>
    <w:rsid w:val="4EC4514C"/>
    <w:rsid w:val="4EE846F4"/>
    <w:rsid w:val="4F027A2F"/>
    <w:rsid w:val="4F036CD0"/>
    <w:rsid w:val="4F10078B"/>
    <w:rsid w:val="4F272254"/>
    <w:rsid w:val="4F2953A8"/>
    <w:rsid w:val="4F3532F9"/>
    <w:rsid w:val="4F472054"/>
    <w:rsid w:val="4F497DC1"/>
    <w:rsid w:val="4F4D7B54"/>
    <w:rsid w:val="4F6D4A98"/>
    <w:rsid w:val="4F7A5E9D"/>
    <w:rsid w:val="4F813561"/>
    <w:rsid w:val="4F967BD1"/>
    <w:rsid w:val="4FAD452D"/>
    <w:rsid w:val="4FAF246B"/>
    <w:rsid w:val="4FEB35B1"/>
    <w:rsid w:val="4FF479C8"/>
    <w:rsid w:val="4FFE003C"/>
    <w:rsid w:val="502F5680"/>
    <w:rsid w:val="505029E8"/>
    <w:rsid w:val="50AE6021"/>
    <w:rsid w:val="50D040C7"/>
    <w:rsid w:val="50E2044D"/>
    <w:rsid w:val="514C31D7"/>
    <w:rsid w:val="516219F6"/>
    <w:rsid w:val="5173187C"/>
    <w:rsid w:val="517E3F8E"/>
    <w:rsid w:val="52292A23"/>
    <w:rsid w:val="52591684"/>
    <w:rsid w:val="526D72F5"/>
    <w:rsid w:val="528E1CA4"/>
    <w:rsid w:val="52EB212D"/>
    <w:rsid w:val="52FD270C"/>
    <w:rsid w:val="537075DA"/>
    <w:rsid w:val="5387166D"/>
    <w:rsid w:val="5391176E"/>
    <w:rsid w:val="5396060E"/>
    <w:rsid w:val="53D538C8"/>
    <w:rsid w:val="54107C9B"/>
    <w:rsid w:val="5413381A"/>
    <w:rsid w:val="54182C34"/>
    <w:rsid w:val="54184B65"/>
    <w:rsid w:val="546053EB"/>
    <w:rsid w:val="54637ED9"/>
    <w:rsid w:val="54897A0F"/>
    <w:rsid w:val="549176AB"/>
    <w:rsid w:val="54B850AC"/>
    <w:rsid w:val="54C75489"/>
    <w:rsid w:val="54D50F73"/>
    <w:rsid w:val="5509636C"/>
    <w:rsid w:val="55326FB7"/>
    <w:rsid w:val="553270F5"/>
    <w:rsid w:val="55455E6C"/>
    <w:rsid w:val="55572544"/>
    <w:rsid w:val="555C0D43"/>
    <w:rsid w:val="5583486A"/>
    <w:rsid w:val="558565C7"/>
    <w:rsid w:val="55A600A3"/>
    <w:rsid w:val="55AA3630"/>
    <w:rsid w:val="55F456C2"/>
    <w:rsid w:val="56424E79"/>
    <w:rsid w:val="564866EC"/>
    <w:rsid w:val="56595D23"/>
    <w:rsid w:val="565F22B2"/>
    <w:rsid w:val="567B37F3"/>
    <w:rsid w:val="56A20E9A"/>
    <w:rsid w:val="56AF7221"/>
    <w:rsid w:val="56CF240B"/>
    <w:rsid w:val="56DA12D1"/>
    <w:rsid w:val="56FB01DB"/>
    <w:rsid w:val="575D439C"/>
    <w:rsid w:val="577A3621"/>
    <w:rsid w:val="57E50CCB"/>
    <w:rsid w:val="581462A7"/>
    <w:rsid w:val="58667FE6"/>
    <w:rsid w:val="587109E5"/>
    <w:rsid w:val="58B35ADF"/>
    <w:rsid w:val="58EF1411"/>
    <w:rsid w:val="594525FB"/>
    <w:rsid w:val="598E25C1"/>
    <w:rsid w:val="59A9405A"/>
    <w:rsid w:val="59B81155"/>
    <w:rsid w:val="59BB29A9"/>
    <w:rsid w:val="59F622AA"/>
    <w:rsid w:val="5A0239C3"/>
    <w:rsid w:val="5A2515BE"/>
    <w:rsid w:val="5A4507F7"/>
    <w:rsid w:val="5A485C1B"/>
    <w:rsid w:val="5A54118A"/>
    <w:rsid w:val="5A751D09"/>
    <w:rsid w:val="5A8817D3"/>
    <w:rsid w:val="5B01732A"/>
    <w:rsid w:val="5B06742A"/>
    <w:rsid w:val="5B226B8B"/>
    <w:rsid w:val="5B261B44"/>
    <w:rsid w:val="5B5C277B"/>
    <w:rsid w:val="5B6259DE"/>
    <w:rsid w:val="5B962DF5"/>
    <w:rsid w:val="5BA0247D"/>
    <w:rsid w:val="5BBB7DD3"/>
    <w:rsid w:val="5BC847B9"/>
    <w:rsid w:val="5BEB0666"/>
    <w:rsid w:val="5BFA28CE"/>
    <w:rsid w:val="5C1D0583"/>
    <w:rsid w:val="5C2028F2"/>
    <w:rsid w:val="5C5614D9"/>
    <w:rsid w:val="5C6137AB"/>
    <w:rsid w:val="5C6E63EC"/>
    <w:rsid w:val="5CC11C7F"/>
    <w:rsid w:val="5D172194"/>
    <w:rsid w:val="5D455560"/>
    <w:rsid w:val="5D7550C9"/>
    <w:rsid w:val="5DA9004E"/>
    <w:rsid w:val="5DAF7ED8"/>
    <w:rsid w:val="5DC3510D"/>
    <w:rsid w:val="5DEC51E3"/>
    <w:rsid w:val="5DEE43FC"/>
    <w:rsid w:val="5E021ADF"/>
    <w:rsid w:val="5E1216F2"/>
    <w:rsid w:val="5E231A98"/>
    <w:rsid w:val="5E6C0372"/>
    <w:rsid w:val="5E787DEC"/>
    <w:rsid w:val="5E8C144E"/>
    <w:rsid w:val="5EA615F5"/>
    <w:rsid w:val="5EE007C1"/>
    <w:rsid w:val="5EFC4913"/>
    <w:rsid w:val="5F0C324D"/>
    <w:rsid w:val="5F475AE5"/>
    <w:rsid w:val="5F4F214F"/>
    <w:rsid w:val="5F7415C4"/>
    <w:rsid w:val="5F847527"/>
    <w:rsid w:val="5F860DF2"/>
    <w:rsid w:val="5F8E5506"/>
    <w:rsid w:val="5F99175B"/>
    <w:rsid w:val="5FB0783B"/>
    <w:rsid w:val="5FC30F01"/>
    <w:rsid w:val="5FDA4382"/>
    <w:rsid w:val="5FEF7C3E"/>
    <w:rsid w:val="5FFA4030"/>
    <w:rsid w:val="602F0C9C"/>
    <w:rsid w:val="603578A4"/>
    <w:rsid w:val="60434D17"/>
    <w:rsid w:val="605C6E6F"/>
    <w:rsid w:val="60701042"/>
    <w:rsid w:val="607E13CA"/>
    <w:rsid w:val="60951B1F"/>
    <w:rsid w:val="60A1439E"/>
    <w:rsid w:val="60D32348"/>
    <w:rsid w:val="60D41911"/>
    <w:rsid w:val="61010D42"/>
    <w:rsid w:val="61046C94"/>
    <w:rsid w:val="612E7483"/>
    <w:rsid w:val="61490338"/>
    <w:rsid w:val="614F2236"/>
    <w:rsid w:val="615E3BD6"/>
    <w:rsid w:val="61980CE2"/>
    <w:rsid w:val="619A7266"/>
    <w:rsid w:val="619C3BA2"/>
    <w:rsid w:val="61D00221"/>
    <w:rsid w:val="61DD18C5"/>
    <w:rsid w:val="61ED0DBF"/>
    <w:rsid w:val="62074FA9"/>
    <w:rsid w:val="622623CB"/>
    <w:rsid w:val="62301936"/>
    <w:rsid w:val="62632A28"/>
    <w:rsid w:val="62654DC1"/>
    <w:rsid w:val="62795971"/>
    <w:rsid w:val="629A5BCD"/>
    <w:rsid w:val="62A479C3"/>
    <w:rsid w:val="62AC763D"/>
    <w:rsid w:val="62C71B8D"/>
    <w:rsid w:val="62DA0FC9"/>
    <w:rsid w:val="62F37C45"/>
    <w:rsid w:val="63177258"/>
    <w:rsid w:val="63232AEB"/>
    <w:rsid w:val="63433435"/>
    <w:rsid w:val="6360794F"/>
    <w:rsid w:val="637051B0"/>
    <w:rsid w:val="63921A8F"/>
    <w:rsid w:val="639256AC"/>
    <w:rsid w:val="639934BF"/>
    <w:rsid w:val="63A467E0"/>
    <w:rsid w:val="63EC4F30"/>
    <w:rsid w:val="63F7159C"/>
    <w:rsid w:val="64062CAE"/>
    <w:rsid w:val="64122133"/>
    <w:rsid w:val="645F3520"/>
    <w:rsid w:val="646D6650"/>
    <w:rsid w:val="648A3B09"/>
    <w:rsid w:val="64F24B5B"/>
    <w:rsid w:val="650B6F5E"/>
    <w:rsid w:val="650C5312"/>
    <w:rsid w:val="6526176E"/>
    <w:rsid w:val="654D4BBF"/>
    <w:rsid w:val="654D6DAF"/>
    <w:rsid w:val="65AF5949"/>
    <w:rsid w:val="65D31999"/>
    <w:rsid w:val="65EC0046"/>
    <w:rsid w:val="661E0C9D"/>
    <w:rsid w:val="66406067"/>
    <w:rsid w:val="665327B4"/>
    <w:rsid w:val="66575BD9"/>
    <w:rsid w:val="66693707"/>
    <w:rsid w:val="66D6537D"/>
    <w:rsid w:val="67010356"/>
    <w:rsid w:val="67147074"/>
    <w:rsid w:val="675126F8"/>
    <w:rsid w:val="676E19E3"/>
    <w:rsid w:val="67761E3C"/>
    <w:rsid w:val="67873252"/>
    <w:rsid w:val="67925FA4"/>
    <w:rsid w:val="679B3D84"/>
    <w:rsid w:val="679D4A0B"/>
    <w:rsid w:val="67B20106"/>
    <w:rsid w:val="67D34F1C"/>
    <w:rsid w:val="681E5CB9"/>
    <w:rsid w:val="682C09B0"/>
    <w:rsid w:val="68637A5A"/>
    <w:rsid w:val="686E1D4E"/>
    <w:rsid w:val="688E56F1"/>
    <w:rsid w:val="68AB40CD"/>
    <w:rsid w:val="69201173"/>
    <w:rsid w:val="69572F91"/>
    <w:rsid w:val="6989172E"/>
    <w:rsid w:val="6990319E"/>
    <w:rsid w:val="69B41833"/>
    <w:rsid w:val="69C30866"/>
    <w:rsid w:val="69C72A98"/>
    <w:rsid w:val="69FA7AA4"/>
    <w:rsid w:val="6A4A2C88"/>
    <w:rsid w:val="6A50548D"/>
    <w:rsid w:val="6A660C78"/>
    <w:rsid w:val="6A775824"/>
    <w:rsid w:val="6AB227E1"/>
    <w:rsid w:val="6ACF15CD"/>
    <w:rsid w:val="6AD7008E"/>
    <w:rsid w:val="6B020F32"/>
    <w:rsid w:val="6B2574EA"/>
    <w:rsid w:val="6B311CF8"/>
    <w:rsid w:val="6B354301"/>
    <w:rsid w:val="6B5971D0"/>
    <w:rsid w:val="6B6426A8"/>
    <w:rsid w:val="6B893B3B"/>
    <w:rsid w:val="6BC118FB"/>
    <w:rsid w:val="6BC302A6"/>
    <w:rsid w:val="6BD66662"/>
    <w:rsid w:val="6C192C03"/>
    <w:rsid w:val="6C2D7B0A"/>
    <w:rsid w:val="6C3C2894"/>
    <w:rsid w:val="6C400787"/>
    <w:rsid w:val="6C423AF6"/>
    <w:rsid w:val="6C497551"/>
    <w:rsid w:val="6C594DEE"/>
    <w:rsid w:val="6C5D70CE"/>
    <w:rsid w:val="6C5F59C4"/>
    <w:rsid w:val="6C625EC0"/>
    <w:rsid w:val="6C68182A"/>
    <w:rsid w:val="6C70488E"/>
    <w:rsid w:val="6C757FD4"/>
    <w:rsid w:val="6C9E7C1D"/>
    <w:rsid w:val="6CEC765E"/>
    <w:rsid w:val="6CFA66CD"/>
    <w:rsid w:val="6CFE0BAF"/>
    <w:rsid w:val="6D025F67"/>
    <w:rsid w:val="6D1013FE"/>
    <w:rsid w:val="6D3F6637"/>
    <w:rsid w:val="6DB71A02"/>
    <w:rsid w:val="6DC64509"/>
    <w:rsid w:val="6DC86CBC"/>
    <w:rsid w:val="6DDF355E"/>
    <w:rsid w:val="6E0547C4"/>
    <w:rsid w:val="6E15750C"/>
    <w:rsid w:val="6E2D3173"/>
    <w:rsid w:val="6E3A7A30"/>
    <w:rsid w:val="6E8E3743"/>
    <w:rsid w:val="6E924EA8"/>
    <w:rsid w:val="6EC36CEE"/>
    <w:rsid w:val="6EDD55B5"/>
    <w:rsid w:val="6F620D37"/>
    <w:rsid w:val="6F8B5FEC"/>
    <w:rsid w:val="6FB86522"/>
    <w:rsid w:val="6FBF1D28"/>
    <w:rsid w:val="6FC551B5"/>
    <w:rsid w:val="6FDE7FA3"/>
    <w:rsid w:val="6FFA140A"/>
    <w:rsid w:val="70141A45"/>
    <w:rsid w:val="701D50BD"/>
    <w:rsid w:val="70343755"/>
    <w:rsid w:val="7080682B"/>
    <w:rsid w:val="70952214"/>
    <w:rsid w:val="70BB3AB8"/>
    <w:rsid w:val="70EE3302"/>
    <w:rsid w:val="70F42876"/>
    <w:rsid w:val="710857DE"/>
    <w:rsid w:val="71306BD6"/>
    <w:rsid w:val="713C04FE"/>
    <w:rsid w:val="713D03D9"/>
    <w:rsid w:val="717161A4"/>
    <w:rsid w:val="719A4052"/>
    <w:rsid w:val="71C7293B"/>
    <w:rsid w:val="71ED6502"/>
    <w:rsid w:val="72067412"/>
    <w:rsid w:val="72116193"/>
    <w:rsid w:val="721E0347"/>
    <w:rsid w:val="72315E88"/>
    <w:rsid w:val="72AF1D8D"/>
    <w:rsid w:val="72BD2C05"/>
    <w:rsid w:val="72D21752"/>
    <w:rsid w:val="72D87A65"/>
    <w:rsid w:val="72DA6836"/>
    <w:rsid w:val="72EB4A28"/>
    <w:rsid w:val="73175CCA"/>
    <w:rsid w:val="73345F42"/>
    <w:rsid w:val="7336749D"/>
    <w:rsid w:val="736478B9"/>
    <w:rsid w:val="7370666F"/>
    <w:rsid w:val="73797496"/>
    <w:rsid w:val="737A2EF4"/>
    <w:rsid w:val="739704F9"/>
    <w:rsid w:val="73A26E87"/>
    <w:rsid w:val="73F1293B"/>
    <w:rsid w:val="73FA7225"/>
    <w:rsid w:val="73FC5B1B"/>
    <w:rsid w:val="74317715"/>
    <w:rsid w:val="743F6CB7"/>
    <w:rsid w:val="7446460E"/>
    <w:rsid w:val="74575414"/>
    <w:rsid w:val="745D73FD"/>
    <w:rsid w:val="747B5646"/>
    <w:rsid w:val="74992E2F"/>
    <w:rsid w:val="74BE6464"/>
    <w:rsid w:val="74D95849"/>
    <w:rsid w:val="750520C4"/>
    <w:rsid w:val="753551D8"/>
    <w:rsid w:val="7546010E"/>
    <w:rsid w:val="75984ACD"/>
    <w:rsid w:val="759F1699"/>
    <w:rsid w:val="75A5308C"/>
    <w:rsid w:val="761E1C63"/>
    <w:rsid w:val="76316E03"/>
    <w:rsid w:val="76826429"/>
    <w:rsid w:val="76BC20DD"/>
    <w:rsid w:val="76CC3E90"/>
    <w:rsid w:val="76D0517D"/>
    <w:rsid w:val="76E21AF7"/>
    <w:rsid w:val="77175FFC"/>
    <w:rsid w:val="7735371E"/>
    <w:rsid w:val="77557901"/>
    <w:rsid w:val="777172F3"/>
    <w:rsid w:val="77A37CD5"/>
    <w:rsid w:val="77CE17C2"/>
    <w:rsid w:val="77DA7229"/>
    <w:rsid w:val="77DF6EE7"/>
    <w:rsid w:val="77F6560C"/>
    <w:rsid w:val="780D5D95"/>
    <w:rsid w:val="784A2BB2"/>
    <w:rsid w:val="786F66E7"/>
    <w:rsid w:val="787971D7"/>
    <w:rsid w:val="78C41B61"/>
    <w:rsid w:val="78DA66CC"/>
    <w:rsid w:val="79246F85"/>
    <w:rsid w:val="793973C5"/>
    <w:rsid w:val="79540870"/>
    <w:rsid w:val="797222A5"/>
    <w:rsid w:val="798728AE"/>
    <w:rsid w:val="79884464"/>
    <w:rsid w:val="799130BA"/>
    <w:rsid w:val="79EF2303"/>
    <w:rsid w:val="79F05E90"/>
    <w:rsid w:val="7A127B1B"/>
    <w:rsid w:val="7A8D4DEC"/>
    <w:rsid w:val="7AAB767C"/>
    <w:rsid w:val="7ACE21F4"/>
    <w:rsid w:val="7AE26719"/>
    <w:rsid w:val="7B1303D9"/>
    <w:rsid w:val="7B1C039B"/>
    <w:rsid w:val="7B581A57"/>
    <w:rsid w:val="7B603B52"/>
    <w:rsid w:val="7B67137D"/>
    <w:rsid w:val="7B741572"/>
    <w:rsid w:val="7B756D67"/>
    <w:rsid w:val="7BA67062"/>
    <w:rsid w:val="7BAD30B2"/>
    <w:rsid w:val="7BBC5617"/>
    <w:rsid w:val="7BC42875"/>
    <w:rsid w:val="7C2D2773"/>
    <w:rsid w:val="7C333727"/>
    <w:rsid w:val="7C5C4760"/>
    <w:rsid w:val="7C6A7E59"/>
    <w:rsid w:val="7CA419A7"/>
    <w:rsid w:val="7CBE71B0"/>
    <w:rsid w:val="7CC11DB9"/>
    <w:rsid w:val="7CC218C1"/>
    <w:rsid w:val="7CCB528C"/>
    <w:rsid w:val="7CDD7929"/>
    <w:rsid w:val="7D09210C"/>
    <w:rsid w:val="7D0C4CB4"/>
    <w:rsid w:val="7D406C92"/>
    <w:rsid w:val="7D6829E3"/>
    <w:rsid w:val="7D754F69"/>
    <w:rsid w:val="7D907BDA"/>
    <w:rsid w:val="7D98285A"/>
    <w:rsid w:val="7D9876E9"/>
    <w:rsid w:val="7DA31BDB"/>
    <w:rsid w:val="7DA41F1A"/>
    <w:rsid w:val="7DB146D5"/>
    <w:rsid w:val="7E0D64C2"/>
    <w:rsid w:val="7E5055A9"/>
    <w:rsid w:val="7E8C11BB"/>
    <w:rsid w:val="7EA02192"/>
    <w:rsid w:val="7EE51E91"/>
    <w:rsid w:val="7F0F7A5D"/>
    <w:rsid w:val="7F3D1F0B"/>
    <w:rsid w:val="7F4A08A0"/>
    <w:rsid w:val="7F4C207C"/>
    <w:rsid w:val="7F4D1C39"/>
    <w:rsid w:val="7F5A11C4"/>
    <w:rsid w:val="7F5C66D4"/>
    <w:rsid w:val="7F5F61C6"/>
    <w:rsid w:val="7F764270"/>
    <w:rsid w:val="7F92671C"/>
    <w:rsid w:val="7FCD2538"/>
    <w:rsid w:val="7FCD25FA"/>
    <w:rsid w:val="7FEF2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1"/>
    <w:qFormat/>
    <w:uiPriority w:val="0"/>
    <w:pPr>
      <w:keepNext/>
      <w:keepLines/>
      <w:spacing w:before="340" w:after="330" w:line="578" w:lineRule="auto"/>
      <w:outlineLvl w:val="0"/>
    </w:pPr>
    <w:rPr>
      <w:rFonts w:eastAsia="楷体_GB2312"/>
      <w:b/>
      <w:kern w:val="44"/>
      <w:sz w:val="44"/>
    </w:rPr>
  </w:style>
  <w:style w:type="paragraph" w:styleId="5">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120" w:after="120"/>
      <w:outlineLvl w:val="3"/>
    </w:pPr>
    <w:rPr>
      <w:rFonts w:ascii="Arial" w:hAnsi="Arial" w:eastAsia="黑体"/>
      <w:b/>
      <w:kern w:val="0"/>
      <w:sz w:val="2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beforeLines="50" w:line="300" w:lineRule="auto"/>
      <w:ind w:firstLine="420" w:firstLineChars="250"/>
    </w:pPr>
    <w:rPr>
      <w:sz w:val="24"/>
      <w:szCs w:val="24"/>
    </w:rPr>
  </w:style>
  <w:style w:type="paragraph" w:styleId="3">
    <w:name w:val="Body Text"/>
    <w:basedOn w:val="1"/>
    <w:link w:val="57"/>
    <w:unhideWhenUsed/>
    <w:qFormat/>
    <w:uiPriority w:val="99"/>
    <w:pPr>
      <w:spacing w:after="120"/>
    </w:pPr>
  </w:style>
  <w:style w:type="paragraph" w:styleId="7">
    <w:name w:val="Normal Indent"/>
    <w:basedOn w:val="1"/>
    <w:link w:val="54"/>
    <w:qFormat/>
    <w:uiPriority w:val="0"/>
    <w:pPr>
      <w:adjustRightInd w:val="0"/>
      <w:ind w:firstLine="420"/>
      <w:jc w:val="left"/>
      <w:textAlignment w:val="baseline"/>
    </w:pPr>
    <w:rPr>
      <w:rFonts w:eastAsia="楷体_GB2312"/>
      <w:kern w:val="0"/>
      <w:sz w:val="24"/>
    </w:rPr>
  </w:style>
  <w:style w:type="paragraph" w:styleId="8">
    <w:name w:val="annotation text"/>
    <w:basedOn w:val="1"/>
    <w:link w:val="68"/>
    <w:unhideWhenUsed/>
    <w:qFormat/>
    <w:uiPriority w:val="99"/>
    <w:pPr>
      <w:jc w:val="left"/>
    </w:pPr>
  </w:style>
  <w:style w:type="paragraph" w:styleId="9">
    <w:name w:val="Body Text Indent"/>
    <w:basedOn w:val="1"/>
    <w:next w:val="10"/>
    <w:unhideWhenUsed/>
    <w:qFormat/>
    <w:uiPriority w:val="99"/>
    <w:pPr>
      <w:spacing w:after="120"/>
      <w:ind w:left="420" w:leftChars="200"/>
    </w:pPr>
    <w:rPr>
      <w:szCs w:val="24"/>
    </w:rPr>
  </w:style>
  <w:style w:type="paragraph" w:styleId="10">
    <w:name w:val="envelope return"/>
    <w:basedOn w:val="1"/>
    <w:unhideWhenUsed/>
    <w:qFormat/>
    <w:uiPriority w:val="99"/>
    <w:pPr>
      <w:snapToGrid w:val="0"/>
    </w:pPr>
    <w:rPr>
      <w:rFonts w:ascii="Arial" w:hAnsi="Arial"/>
    </w:rPr>
  </w:style>
  <w:style w:type="paragraph" w:styleId="11">
    <w:name w:val="toc 3"/>
    <w:basedOn w:val="1"/>
    <w:next w:val="1"/>
    <w:qFormat/>
    <w:uiPriority w:val="0"/>
    <w:pPr>
      <w:ind w:left="840" w:leftChars="400"/>
    </w:pPr>
  </w:style>
  <w:style w:type="paragraph" w:styleId="12">
    <w:name w:val="Date"/>
    <w:basedOn w:val="1"/>
    <w:next w:val="1"/>
    <w:link w:val="55"/>
    <w:qFormat/>
    <w:uiPriority w:val="0"/>
    <w:pPr>
      <w:ind w:left="100" w:leftChars="2500"/>
    </w:pPr>
    <w:rPr>
      <w:kern w:val="0"/>
      <w:sz w:val="20"/>
      <w:szCs w:val="24"/>
    </w:rPr>
  </w:style>
  <w:style w:type="paragraph" w:styleId="13">
    <w:name w:val="Body Text Indent 2"/>
    <w:basedOn w:val="1"/>
    <w:unhideWhenUsed/>
    <w:qFormat/>
    <w:uiPriority w:val="99"/>
    <w:pPr>
      <w:spacing w:line="420" w:lineRule="exact"/>
      <w:ind w:firstLine="525"/>
    </w:pPr>
    <w:rPr>
      <w:kern w:val="0"/>
      <w:sz w:val="24"/>
    </w:rPr>
  </w:style>
  <w:style w:type="paragraph" w:styleId="14">
    <w:name w:val="Balloon Text"/>
    <w:basedOn w:val="1"/>
    <w:link w:val="49"/>
    <w:unhideWhenUsed/>
    <w:qFormat/>
    <w:uiPriority w:val="99"/>
    <w:rPr>
      <w:kern w:val="0"/>
      <w:sz w:val="18"/>
      <w:szCs w:val="18"/>
    </w:rPr>
  </w:style>
  <w:style w:type="paragraph" w:styleId="15">
    <w:name w:val="footer"/>
    <w:basedOn w:val="1"/>
    <w:link w:val="60"/>
    <w:qFormat/>
    <w:uiPriority w:val="99"/>
    <w:pPr>
      <w:tabs>
        <w:tab w:val="center" w:pos="4153"/>
        <w:tab w:val="right" w:pos="8306"/>
      </w:tabs>
      <w:snapToGrid w:val="0"/>
      <w:jc w:val="left"/>
    </w:pPr>
    <w:rPr>
      <w:kern w:val="0"/>
      <w:sz w:val="18"/>
      <w:szCs w:val="18"/>
    </w:rPr>
  </w:style>
  <w:style w:type="paragraph" w:styleId="16">
    <w:name w:val="header"/>
    <w:basedOn w:val="1"/>
    <w:link w:val="52"/>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0"/>
    <w:pPr>
      <w:adjustRightInd w:val="0"/>
      <w:jc w:val="left"/>
      <w:textAlignment w:val="baseline"/>
    </w:pPr>
    <w:rPr>
      <w:rFonts w:eastAsia="楷体_GB2312"/>
      <w:sz w:val="24"/>
    </w:rPr>
  </w:style>
  <w:style w:type="paragraph" w:styleId="18">
    <w:name w:val="Normal (Web)"/>
    <w:basedOn w:val="1"/>
    <w:unhideWhenUsed/>
    <w:qFormat/>
    <w:uiPriority w:val="99"/>
    <w:pPr>
      <w:spacing w:before="100" w:beforeAutospacing="1" w:after="100" w:afterAutospacing="1"/>
      <w:jc w:val="left"/>
    </w:pPr>
    <w:rPr>
      <w:kern w:val="0"/>
      <w:sz w:val="24"/>
    </w:rPr>
  </w:style>
  <w:style w:type="paragraph" w:styleId="19">
    <w:name w:val="annotation subject"/>
    <w:basedOn w:val="8"/>
    <w:next w:val="8"/>
    <w:link w:val="69"/>
    <w:semiHidden/>
    <w:unhideWhenUsed/>
    <w:qFormat/>
    <w:uiPriority w:val="99"/>
    <w:rPr>
      <w:b/>
      <w:bCs/>
    </w:rPr>
  </w:style>
  <w:style w:type="paragraph" w:styleId="20">
    <w:name w:val="Body Text First Indent 2"/>
    <w:basedOn w:val="9"/>
    <w:unhideWhenUsed/>
    <w:qFormat/>
    <w:uiPriority w:val="99"/>
    <w:pPr>
      <w:ind w:firstLine="200" w:firstLineChars="200"/>
    </w:pPr>
  </w:style>
  <w:style w:type="character" w:styleId="23">
    <w:name w:val="Strong"/>
    <w:qFormat/>
    <w:uiPriority w:val="22"/>
  </w:style>
  <w:style w:type="character" w:styleId="24">
    <w:name w:val="page number"/>
    <w:basedOn w:val="22"/>
    <w:qFormat/>
    <w:uiPriority w:val="0"/>
  </w:style>
  <w:style w:type="character" w:styleId="25">
    <w:name w:val="FollowedHyperlink"/>
    <w:unhideWhenUsed/>
    <w:qFormat/>
    <w:uiPriority w:val="99"/>
    <w:rPr>
      <w:color w:val="000000"/>
      <w:sz w:val="18"/>
      <w:szCs w:val="18"/>
      <w:u w:val="none"/>
    </w:rPr>
  </w:style>
  <w:style w:type="character" w:styleId="26">
    <w:name w:val="Emphasis"/>
    <w:qFormat/>
    <w:uiPriority w:val="20"/>
  </w:style>
  <w:style w:type="character" w:styleId="27">
    <w:name w:val="HTML Definition"/>
    <w:unhideWhenUsed/>
    <w:qFormat/>
    <w:uiPriority w:val="99"/>
    <w:rPr>
      <w:u w:val="none"/>
    </w:rPr>
  </w:style>
  <w:style w:type="character" w:styleId="28">
    <w:name w:val="HTML Typewriter"/>
    <w:unhideWhenUsed/>
    <w:qFormat/>
    <w:uiPriority w:val="99"/>
    <w:rPr>
      <w:rFonts w:ascii="monospace" w:hAnsi="monospace" w:eastAsia="monospace" w:cs="monospace"/>
      <w:sz w:val="20"/>
    </w:rPr>
  </w:style>
  <w:style w:type="character" w:styleId="29">
    <w:name w:val="HTML Acronym"/>
    <w:basedOn w:val="22"/>
    <w:unhideWhenUsed/>
    <w:qFormat/>
    <w:uiPriority w:val="99"/>
  </w:style>
  <w:style w:type="character" w:styleId="30">
    <w:name w:val="HTML Variable"/>
    <w:unhideWhenUsed/>
    <w:qFormat/>
    <w:uiPriority w:val="99"/>
  </w:style>
  <w:style w:type="character" w:styleId="31">
    <w:name w:val="Hyperlink"/>
    <w:qFormat/>
    <w:uiPriority w:val="0"/>
    <w:rPr>
      <w:color w:val="333333"/>
      <w:u w:val="none"/>
    </w:rPr>
  </w:style>
  <w:style w:type="character" w:styleId="32">
    <w:name w:val="HTML Code"/>
    <w:unhideWhenUsed/>
    <w:qFormat/>
    <w:uiPriority w:val="99"/>
    <w:rPr>
      <w:rFonts w:hint="default" w:ascii="monospace" w:hAnsi="monospace" w:eastAsia="monospace" w:cs="monospace"/>
      <w:sz w:val="20"/>
    </w:rPr>
  </w:style>
  <w:style w:type="character" w:styleId="33">
    <w:name w:val="annotation reference"/>
    <w:basedOn w:val="22"/>
    <w:semiHidden/>
    <w:unhideWhenUsed/>
    <w:qFormat/>
    <w:uiPriority w:val="99"/>
    <w:rPr>
      <w:sz w:val="21"/>
      <w:szCs w:val="21"/>
    </w:rPr>
  </w:style>
  <w:style w:type="character" w:styleId="34">
    <w:name w:val="HTML Cite"/>
    <w:unhideWhenUsed/>
    <w:qFormat/>
    <w:uiPriority w:val="99"/>
  </w:style>
  <w:style w:type="character" w:styleId="35">
    <w:name w:val="HTML Keyboard"/>
    <w:unhideWhenUsed/>
    <w:qFormat/>
    <w:uiPriority w:val="99"/>
    <w:rPr>
      <w:rFonts w:hint="default" w:ascii="monospace" w:hAnsi="monospace" w:eastAsia="monospace" w:cs="monospace"/>
      <w:sz w:val="20"/>
    </w:rPr>
  </w:style>
  <w:style w:type="character" w:styleId="36">
    <w:name w:val="HTML Sample"/>
    <w:unhideWhenUsed/>
    <w:qFormat/>
    <w:uiPriority w:val="99"/>
    <w:rPr>
      <w:rFonts w:hint="default" w:ascii="monospace" w:hAnsi="monospace" w:eastAsia="monospace" w:cs="monospace"/>
    </w:rPr>
  </w:style>
  <w:style w:type="paragraph" w:customStyle="1" w:styleId="3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8">
    <w:name w:val="_Style 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列出段落21"/>
    <w:basedOn w:val="1"/>
    <w:qFormat/>
    <w:uiPriority w:val="34"/>
    <w:pPr>
      <w:adjustRightInd w:val="0"/>
      <w:snapToGrid w:val="0"/>
      <w:ind w:firstLine="420" w:firstLineChars="200"/>
    </w:pPr>
  </w:style>
  <w:style w:type="paragraph" w:customStyle="1" w:styleId="40">
    <w:name w:val="列出段落2"/>
    <w:basedOn w:val="1"/>
    <w:qFormat/>
    <w:uiPriority w:val="34"/>
    <w:pPr>
      <w:adjustRightInd w:val="0"/>
      <w:snapToGrid w:val="0"/>
      <w:ind w:firstLine="420" w:firstLineChars="200"/>
    </w:pPr>
  </w:style>
  <w:style w:type="paragraph" w:customStyle="1" w:styleId="41">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42">
    <w:name w:val="张勋－节格式－居中"/>
    <w:basedOn w:val="1"/>
    <w:qFormat/>
    <w:uiPriority w:val="0"/>
    <w:pPr>
      <w:jc w:val="center"/>
      <w:textAlignment w:val="center"/>
      <w:outlineLvl w:val="0"/>
    </w:pPr>
    <w:rPr>
      <w:rFonts w:ascii="宋体" w:hAnsi="宋体" w:cs="宋体"/>
      <w:b/>
      <w:bCs/>
      <w:sz w:val="28"/>
      <w:szCs w:val="28"/>
    </w:rPr>
  </w:style>
  <w:style w:type="paragraph" w:customStyle="1" w:styleId="43">
    <w:name w:val="正文2"/>
    <w:basedOn w:val="1"/>
    <w:link w:val="50"/>
    <w:qFormat/>
    <w:uiPriority w:val="0"/>
    <w:pPr>
      <w:adjustRightInd w:val="0"/>
      <w:snapToGrid w:val="0"/>
      <w:spacing w:line="360" w:lineRule="auto"/>
      <w:ind w:firstLine="480" w:firstLineChars="200"/>
    </w:pPr>
    <w:rPr>
      <w:rFonts w:ascii="华文中宋" w:hAnsi="华文中宋" w:eastAsia="华文中宋"/>
      <w:kern w:val="0"/>
      <w:sz w:val="24"/>
      <w:szCs w:val="24"/>
    </w:rPr>
  </w:style>
  <w:style w:type="paragraph" w:customStyle="1" w:styleId="44">
    <w:name w:val="Default"/>
    <w:qFormat/>
    <w:uiPriority w:val="0"/>
    <w:pPr>
      <w:widowControl w:val="0"/>
      <w:autoSpaceDE w:val="0"/>
      <w:autoSpaceDN w:val="0"/>
      <w:adjustRightInd w:val="0"/>
    </w:pPr>
    <w:rPr>
      <w:rFonts w:ascii="Times New Roman" w:hAnsi="Times New Roman" w:eastAsia="宋体" w:cs="宋体"/>
      <w:color w:val="000000"/>
      <w:sz w:val="24"/>
      <w:szCs w:val="24"/>
      <w:u w:val="single"/>
      <w:lang w:val="en-US" w:eastAsia="zh-CN" w:bidi="ar-SA"/>
    </w:rPr>
  </w:style>
  <w:style w:type="paragraph" w:customStyle="1" w:styleId="45">
    <w:name w:val="Item List"/>
    <w:link w:val="53"/>
    <w:qFormat/>
    <w:uiPriority w:val="0"/>
    <w:pPr>
      <w:tabs>
        <w:tab w:val="left" w:pos="2126"/>
      </w:tabs>
      <w:adjustRightInd w:val="0"/>
      <w:snapToGrid w:val="0"/>
      <w:spacing w:before="80" w:after="80" w:line="240" w:lineRule="atLeast"/>
      <w:ind w:left="2126" w:hanging="425"/>
    </w:pPr>
    <w:rPr>
      <w:rFonts w:ascii="Times New Roman" w:hAnsi="Times New Roman" w:eastAsia="宋体" w:cs="Times New Roman"/>
      <w:kern w:val="2"/>
      <w:sz w:val="21"/>
      <w:szCs w:val="21"/>
      <w:lang w:val="en-US" w:eastAsia="zh-CN" w:bidi="ar-SA"/>
    </w:rPr>
  </w:style>
  <w:style w:type="paragraph" w:customStyle="1" w:styleId="46">
    <w:name w:val="列出段落1"/>
    <w:basedOn w:val="1"/>
    <w:qFormat/>
    <w:uiPriority w:val="0"/>
    <w:pPr>
      <w:ind w:firstLine="420" w:firstLineChars="200"/>
    </w:pPr>
  </w:style>
  <w:style w:type="paragraph" w:customStyle="1" w:styleId="47">
    <w:name w:val="报告正文"/>
    <w:basedOn w:val="1"/>
    <w:qFormat/>
    <w:uiPriority w:val="0"/>
    <w:pPr>
      <w:suppressAutoHyphens/>
      <w:adjustRightInd w:val="0"/>
      <w:snapToGrid w:val="0"/>
      <w:spacing w:line="312" w:lineRule="auto"/>
      <w:ind w:left="2600"/>
    </w:pPr>
    <w:rPr>
      <w:rFonts w:ascii="华文细黑" w:eastAsia="华文细黑"/>
      <w:sz w:val="20"/>
    </w:rPr>
  </w:style>
  <w:style w:type="character" w:customStyle="1" w:styleId="48">
    <w:name w:val="页眉 Char1"/>
    <w:semiHidden/>
    <w:qFormat/>
    <w:uiPriority w:val="99"/>
    <w:rPr>
      <w:rFonts w:ascii="Times New Roman" w:hAnsi="Times New Roman" w:eastAsia="宋体" w:cs="Times New Roman"/>
      <w:sz w:val="18"/>
      <w:szCs w:val="18"/>
    </w:rPr>
  </w:style>
  <w:style w:type="character" w:customStyle="1" w:styleId="49">
    <w:name w:val="批注框文本 字符"/>
    <w:link w:val="14"/>
    <w:semiHidden/>
    <w:qFormat/>
    <w:uiPriority w:val="99"/>
    <w:rPr>
      <w:rFonts w:ascii="Times New Roman" w:hAnsi="Times New Roman" w:eastAsia="宋体" w:cs="Times New Roman"/>
      <w:sz w:val="18"/>
      <w:szCs w:val="18"/>
    </w:rPr>
  </w:style>
  <w:style w:type="character" w:customStyle="1" w:styleId="50">
    <w:name w:val="正文2 Char"/>
    <w:link w:val="43"/>
    <w:qFormat/>
    <w:uiPriority w:val="0"/>
    <w:rPr>
      <w:rFonts w:ascii="华文中宋" w:hAnsi="华文中宋" w:eastAsia="华文中宋"/>
      <w:sz w:val="24"/>
      <w:szCs w:val="24"/>
    </w:rPr>
  </w:style>
  <w:style w:type="character" w:customStyle="1" w:styleId="51">
    <w:name w:val="标题 1 字符"/>
    <w:link w:val="4"/>
    <w:qFormat/>
    <w:uiPriority w:val="0"/>
    <w:rPr>
      <w:rFonts w:ascii="Times New Roman" w:hAnsi="Times New Roman" w:eastAsia="楷体_GB2312" w:cs="Times New Roman"/>
      <w:b/>
      <w:kern w:val="44"/>
      <w:sz w:val="44"/>
      <w:szCs w:val="20"/>
    </w:rPr>
  </w:style>
  <w:style w:type="character" w:customStyle="1" w:styleId="52">
    <w:name w:val="页眉 字符"/>
    <w:link w:val="16"/>
    <w:qFormat/>
    <w:uiPriority w:val="0"/>
    <w:rPr>
      <w:sz w:val="18"/>
      <w:szCs w:val="18"/>
    </w:rPr>
  </w:style>
  <w:style w:type="character" w:customStyle="1" w:styleId="53">
    <w:name w:val="Item List Char1"/>
    <w:link w:val="45"/>
    <w:qFormat/>
    <w:uiPriority w:val="0"/>
    <w:rPr>
      <w:kern w:val="2"/>
      <w:sz w:val="21"/>
      <w:szCs w:val="21"/>
      <w:lang w:val="en-US" w:eastAsia="zh-CN" w:bidi="ar-SA"/>
    </w:rPr>
  </w:style>
  <w:style w:type="character" w:customStyle="1" w:styleId="54">
    <w:name w:val="正文缩进 字符"/>
    <w:link w:val="7"/>
    <w:qFormat/>
    <w:uiPriority w:val="0"/>
    <w:rPr>
      <w:rFonts w:eastAsia="楷体_GB2312"/>
      <w:sz w:val="24"/>
    </w:rPr>
  </w:style>
  <w:style w:type="character" w:customStyle="1" w:styleId="55">
    <w:name w:val="日期 字符"/>
    <w:link w:val="12"/>
    <w:qFormat/>
    <w:uiPriority w:val="0"/>
    <w:rPr>
      <w:szCs w:val="24"/>
    </w:rPr>
  </w:style>
  <w:style w:type="character" w:customStyle="1" w:styleId="56">
    <w:name w:val="NormalCharacter"/>
    <w:semiHidden/>
    <w:qFormat/>
    <w:uiPriority w:val="0"/>
  </w:style>
  <w:style w:type="character" w:customStyle="1" w:styleId="57">
    <w:name w:val="正文文本 字符"/>
    <w:link w:val="3"/>
    <w:qFormat/>
    <w:uiPriority w:val="99"/>
    <w:rPr>
      <w:kern w:val="2"/>
      <w:sz w:val="21"/>
    </w:rPr>
  </w:style>
  <w:style w:type="character" w:customStyle="1" w:styleId="58">
    <w:name w:val="页脚 Char1"/>
    <w:semiHidden/>
    <w:qFormat/>
    <w:uiPriority w:val="99"/>
    <w:rPr>
      <w:rFonts w:ascii="Times New Roman" w:hAnsi="Times New Roman" w:eastAsia="宋体" w:cs="Times New Roman"/>
      <w:sz w:val="18"/>
      <w:szCs w:val="18"/>
    </w:rPr>
  </w:style>
  <w:style w:type="character" w:customStyle="1" w:styleId="59">
    <w:name w:val="日期 Char1"/>
    <w:semiHidden/>
    <w:qFormat/>
    <w:uiPriority w:val="99"/>
    <w:rPr>
      <w:rFonts w:ascii="Times New Roman" w:hAnsi="Times New Roman" w:eastAsia="宋体" w:cs="Times New Roman"/>
      <w:szCs w:val="20"/>
    </w:rPr>
  </w:style>
  <w:style w:type="character" w:customStyle="1" w:styleId="60">
    <w:name w:val="页脚 字符"/>
    <w:link w:val="15"/>
    <w:qFormat/>
    <w:uiPriority w:val="99"/>
    <w:rPr>
      <w:sz w:val="18"/>
      <w:szCs w:val="18"/>
    </w:rPr>
  </w:style>
  <w:style w:type="paragraph" w:customStyle="1" w:styleId="61">
    <w:name w:val="列表段落1"/>
    <w:basedOn w:val="1"/>
    <w:unhideWhenUsed/>
    <w:qFormat/>
    <w:uiPriority w:val="0"/>
    <w:pPr>
      <w:ind w:firstLine="420" w:firstLineChars="200"/>
    </w:pPr>
    <w:rPr>
      <w:szCs w:val="24"/>
    </w:rPr>
  </w:style>
  <w:style w:type="paragraph" w:customStyle="1" w:styleId="62">
    <w:name w:val="列表段落2"/>
    <w:basedOn w:val="1"/>
    <w:qFormat/>
    <w:uiPriority w:val="0"/>
    <w:pPr>
      <w:ind w:firstLine="420" w:firstLineChars="200"/>
    </w:pPr>
    <w:rPr>
      <w:rFonts w:ascii="Calibri" w:hAnsi="Calibri" w:cs="黑体"/>
      <w:szCs w:val="22"/>
    </w:rPr>
  </w:style>
  <w:style w:type="paragraph" w:customStyle="1" w:styleId="63">
    <w:name w:val="列出段落3"/>
    <w:basedOn w:val="1"/>
    <w:qFormat/>
    <w:uiPriority w:val="0"/>
    <w:pPr>
      <w:ind w:firstLine="420" w:firstLineChars="200"/>
    </w:pPr>
    <w:rPr>
      <w:rFonts w:ascii="Calibri" w:hAnsi="Calibri" w:cs="黑体"/>
      <w:szCs w:val="22"/>
    </w:rPr>
  </w:style>
  <w:style w:type="paragraph" w:styleId="64">
    <w:name w:val="List Paragraph"/>
    <w:basedOn w:val="1"/>
    <w:unhideWhenUsed/>
    <w:qFormat/>
    <w:uiPriority w:val="34"/>
    <w:pPr>
      <w:ind w:firstLine="420" w:firstLineChars="200"/>
    </w:pPr>
  </w:style>
  <w:style w:type="table" w:customStyle="1" w:styleId="65">
    <w:name w:val="网格型3"/>
    <w:basedOn w:val="2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67">
    <w:name w:val="样式1"/>
    <w:basedOn w:val="1"/>
    <w:qFormat/>
    <w:uiPriority w:val="0"/>
    <w:pPr>
      <w:numPr>
        <w:ilvl w:val="0"/>
        <w:numId w:val="1"/>
      </w:numPr>
      <w:adjustRightInd w:val="0"/>
      <w:textAlignment w:val="baseline"/>
    </w:pPr>
    <w:rPr>
      <w:rFonts w:ascii="宋体" w:hAnsi="宋体"/>
      <w:kern w:val="0"/>
      <w:szCs w:val="21"/>
    </w:rPr>
  </w:style>
  <w:style w:type="character" w:customStyle="1" w:styleId="68">
    <w:name w:val="批注文字 字符"/>
    <w:basedOn w:val="22"/>
    <w:link w:val="8"/>
    <w:qFormat/>
    <w:uiPriority w:val="99"/>
    <w:rPr>
      <w:rFonts w:ascii="Times New Roman" w:hAnsi="Times New Roman" w:eastAsia="宋体" w:cs="Times New Roman"/>
      <w:kern w:val="2"/>
      <w:sz w:val="21"/>
    </w:rPr>
  </w:style>
  <w:style w:type="character" w:customStyle="1" w:styleId="69">
    <w:name w:val="批注主题 字符"/>
    <w:basedOn w:val="68"/>
    <w:link w:val="19"/>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20375D-1550-44E5-A5AC-8AFA7CFA462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2730</Words>
  <Characters>15563</Characters>
  <Lines>129</Lines>
  <Paragraphs>36</Paragraphs>
  <TotalTime>0</TotalTime>
  <ScaleCrop>false</ScaleCrop>
  <LinksUpToDate>false</LinksUpToDate>
  <CharactersWithSpaces>18257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2022-05-09T11:12:00Z</dcterms:created>
  <dc:creator>何花</dc:creator>
  <cp:lastModifiedBy>顾芸瑄</cp:lastModifiedBy>
  <cp:lastPrinted>2020-06-01T09:20:00Z</cp:lastPrinted>
  <dcterms:modified xsi:type="dcterms:W3CDTF">2022-06-02T08:20:46Z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6F57528075B44074A8A3AB7A1AAC2E22</vt:lpwstr>
  </property>
</Properties>
</file>