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val="en-US" w:eastAsia="zh-CN"/>
        </w:rPr>
        <w:t>南通市夏被</w:t>
      </w:r>
      <w:r>
        <w:rPr>
          <w:rFonts w:hint="eastAsia" w:ascii="方正小标宋_GBK" w:hAnsi="方正小标宋_GBK" w:eastAsia="方正小标宋_GBK" w:cs="方正小标宋_GBK"/>
          <w:color w:val="000000"/>
          <w:sz w:val="44"/>
          <w:szCs w:val="44"/>
        </w:rPr>
        <w:t>产品质量</w:t>
      </w:r>
      <w:r>
        <w:rPr>
          <w:rFonts w:hint="eastAsia" w:ascii="方正小标宋_GBK" w:hAnsi="方正小标宋_GBK" w:eastAsia="方正小标宋_GBK" w:cs="方正小标宋_GBK"/>
          <w:color w:val="000000"/>
          <w:sz w:val="44"/>
          <w:szCs w:val="44"/>
          <w:lang w:val="en-US" w:eastAsia="zh-CN"/>
        </w:rPr>
        <w:t>专项</w:t>
      </w:r>
      <w:r>
        <w:rPr>
          <w:rFonts w:hint="eastAsia" w:ascii="方正小标宋_GBK" w:hAnsi="方正小标宋_GBK" w:eastAsia="方正小标宋_GBK" w:cs="方正小标宋_GBK"/>
          <w:color w:val="000000"/>
          <w:sz w:val="44"/>
          <w:szCs w:val="44"/>
        </w:rPr>
        <w:t>抽查</w:t>
      </w:r>
    </w:p>
    <w:p>
      <w:pPr>
        <w:snapToGrid w:val="0"/>
        <w:spacing w:line="58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实施细则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0"/>
          <w:sz w:val="32"/>
          <w:szCs w:val="32"/>
          <w:shd w:val="clear" w:color="auto" w:fill="FFFFFF"/>
          <w:lang w:bidi="ar"/>
        </w:rPr>
      </w:pPr>
      <w:r>
        <w:rPr>
          <w:rFonts w:hint="eastAsia" w:ascii="方正黑体_GBK" w:hAnsi="方正黑体_GBK" w:eastAsia="方正黑体_GBK" w:cs="方正黑体_GBK"/>
          <w:bCs/>
          <w:sz w:val="32"/>
          <w:szCs w:val="32"/>
        </w:rPr>
        <w:t>1.</w:t>
      </w:r>
      <w:r>
        <w:rPr>
          <w:rFonts w:hint="eastAsia" w:ascii="方正黑体_GBK" w:hAnsi="方正黑体_GBK" w:eastAsia="方正黑体_GBK" w:cs="方正黑体_GBK"/>
          <w:kern w:val="0"/>
          <w:sz w:val="32"/>
          <w:szCs w:val="32"/>
          <w:shd w:val="clear" w:color="auto" w:fill="FFFFFF"/>
          <w:lang w:bidi="ar"/>
        </w:rPr>
        <w:t>范围</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宋体" w:eastAsia="仿宋_GB2312"/>
          <w:sz w:val="30"/>
          <w:szCs w:val="32"/>
        </w:rPr>
      </w:pPr>
      <w:r>
        <w:rPr>
          <w:rFonts w:hint="eastAsia" w:ascii="方正仿宋_GBK" w:hAnsi="方正仿宋_GBK" w:eastAsia="方正仿宋_GBK" w:cs="方正仿宋_GBK"/>
          <w:sz w:val="32"/>
          <w:szCs w:val="32"/>
        </w:rPr>
        <w:t>本细则适用于</w:t>
      </w:r>
      <w:r>
        <w:rPr>
          <w:rFonts w:hint="eastAsia" w:ascii="方正仿宋_GBK" w:hAnsi="方正仿宋_GBK" w:eastAsia="方正仿宋_GBK" w:cs="方正仿宋_GBK"/>
          <w:sz w:val="32"/>
          <w:szCs w:val="32"/>
          <w:lang w:val="en-US" w:eastAsia="zh-CN"/>
        </w:rPr>
        <w:t>南通市</w:t>
      </w:r>
      <w:r>
        <w:rPr>
          <w:rFonts w:hint="eastAsia" w:ascii="方正仿宋_GBK" w:hAnsi="方正仿宋_GBK" w:eastAsia="方正仿宋_GBK" w:cs="方正仿宋_GBK"/>
          <w:sz w:val="32"/>
          <w:szCs w:val="32"/>
        </w:rPr>
        <w:t>市场</w:t>
      </w:r>
      <w:bookmarkStart w:id="2" w:name="_GoBack"/>
      <w:bookmarkEnd w:id="2"/>
      <w:r>
        <w:rPr>
          <w:rFonts w:hint="eastAsia" w:ascii="方正仿宋_GBK" w:hAnsi="方正仿宋_GBK" w:eastAsia="方正仿宋_GBK" w:cs="方正仿宋_GBK"/>
          <w:sz w:val="32"/>
          <w:szCs w:val="32"/>
        </w:rPr>
        <w:t>监督管理局组织的</w:t>
      </w:r>
      <w:r>
        <w:rPr>
          <w:rFonts w:hint="eastAsia" w:ascii="方正仿宋_GBK" w:hAnsi="方正仿宋_GBK" w:eastAsia="方正仿宋_GBK" w:cs="方正仿宋_GBK"/>
          <w:sz w:val="32"/>
          <w:szCs w:val="32"/>
          <w:lang w:val="en-US" w:eastAsia="zh-CN"/>
        </w:rPr>
        <w:t>夏被</w:t>
      </w:r>
      <w:r>
        <w:rPr>
          <w:rFonts w:hint="eastAsia" w:ascii="方正仿宋_GBK" w:hAnsi="方正仿宋_GBK" w:eastAsia="方正仿宋_GBK" w:cs="方正仿宋_GBK"/>
          <w:sz w:val="32"/>
          <w:szCs w:val="32"/>
        </w:rPr>
        <w:t>产品质量</w:t>
      </w:r>
      <w:r>
        <w:rPr>
          <w:rFonts w:hint="eastAsia" w:ascii="方正仿宋_GBK" w:hAnsi="方正仿宋_GBK" w:eastAsia="方正仿宋_GBK" w:cs="方正仿宋_GBK"/>
          <w:sz w:val="32"/>
          <w:szCs w:val="32"/>
          <w:lang w:val="en-US" w:eastAsia="zh-CN"/>
        </w:rPr>
        <w:t>专项</w:t>
      </w:r>
      <w:r>
        <w:rPr>
          <w:rFonts w:hint="eastAsia" w:ascii="方正仿宋_GBK" w:hAnsi="方正仿宋_GBK" w:eastAsia="方正仿宋_GBK" w:cs="方正仿宋_GBK"/>
          <w:sz w:val="32"/>
          <w:szCs w:val="32"/>
        </w:rPr>
        <w:t>抽查检验。本细则规定了此产品的抽样方法、检验依据、检验项目、检验方法、判定原则、异议处理及复检。</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2.抽样方法</w:t>
      </w:r>
    </w:p>
    <w:p>
      <w:pPr>
        <w:spacing w:line="600" w:lineRule="exact"/>
        <w:ind w:firstLine="640" w:firstLineChars="200"/>
        <w:rPr>
          <w:rFonts w:ascii="方正黑体_GBK" w:hAnsi="宋体" w:eastAsia="方正黑体_GBK" w:cs="宋体"/>
          <w:bCs/>
          <w:sz w:val="32"/>
          <w:szCs w:val="32"/>
        </w:rPr>
      </w:pPr>
      <w:r>
        <w:rPr>
          <w:rFonts w:hint="eastAsia" w:ascii="方正黑体_GBK" w:hAnsi="宋体" w:eastAsia="方正黑体_GBK" w:cs="宋体"/>
          <w:bCs/>
          <w:sz w:val="32"/>
          <w:szCs w:val="32"/>
        </w:rPr>
        <w:t>2</w:t>
      </w:r>
      <w:r>
        <w:rPr>
          <w:rFonts w:ascii="方正黑体_GBK" w:hAnsi="宋体" w:eastAsia="方正黑体_GBK" w:cs="宋体"/>
          <w:bCs/>
          <w:sz w:val="32"/>
          <w:szCs w:val="32"/>
        </w:rPr>
        <w:t>.</w:t>
      </w:r>
      <w:r>
        <w:rPr>
          <w:rFonts w:hint="eastAsia" w:ascii="方正黑体_GBK" w:hAnsi="宋体" w:eastAsia="方正黑体_GBK" w:cs="宋体"/>
          <w:bCs/>
          <w:sz w:val="32"/>
          <w:szCs w:val="32"/>
          <w:lang w:val="en-US" w:eastAsia="zh-CN"/>
        </w:rPr>
        <w:t>1</w:t>
      </w:r>
      <w:r>
        <w:rPr>
          <w:rFonts w:hint="eastAsia" w:ascii="方正黑体_GBK" w:hAnsi="宋体" w:eastAsia="方正黑体_GBK" w:cs="宋体"/>
          <w:bCs/>
          <w:sz w:val="32"/>
          <w:szCs w:val="32"/>
        </w:rPr>
        <w:t>电商平台抽样</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方正仿宋_GBK" w:hAnsi="宋体" w:eastAsia="方正仿宋_GBK" w:cs="宋体"/>
          <w:color w:val="0000FF"/>
          <w:sz w:val="32"/>
          <w:szCs w:val="32"/>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抽样数量：2</w:t>
      </w:r>
      <w:r>
        <w:rPr>
          <w:rFonts w:hint="eastAsia" w:ascii="方正仿宋_GBK" w:hAnsi="宋体" w:eastAsia="方正仿宋_GBK" w:cs="宋体"/>
          <w:color w:val="000000" w:themeColor="text1"/>
          <w:sz w:val="32"/>
          <w:szCs w:val="32"/>
          <w14:textFill>
            <w14:solidFill>
              <w14:schemeClr w14:val="tx1"/>
            </w14:solidFill>
          </w14:textFill>
        </w:rPr>
        <w:t>条</w:t>
      </w:r>
      <w:r>
        <w:rPr>
          <w:rFonts w:hint="eastAsia" w:ascii="方正仿宋_GBK" w:hAnsi="宋体" w:eastAsia="方正仿宋_GBK" w:cs="宋体"/>
          <w:color w:val="000000" w:themeColor="text1"/>
          <w:sz w:val="32"/>
          <w:szCs w:val="32"/>
          <w:lang w:val="en-US" w:eastAsia="zh-CN"/>
          <w14:textFill>
            <w14:solidFill>
              <w14:schemeClr w14:val="tx1"/>
            </w14:solidFill>
          </w14:textFill>
        </w:rPr>
        <w:t>/套</w:t>
      </w:r>
      <w:r>
        <w:rPr>
          <w:rFonts w:hint="eastAsia" w:ascii="方正仿宋_GBK" w:hAnsi="宋体" w:eastAsia="方正仿宋_GBK" w:cs="宋体"/>
          <w:color w:val="000000" w:themeColor="text1"/>
          <w:sz w:val="32"/>
          <w:szCs w:val="32"/>
          <w14:textFill>
            <w14:solidFill>
              <w14:schemeClr w14:val="tx1"/>
            </w14:solidFill>
          </w14:textFill>
        </w:rPr>
        <w:t>（其中备样1条</w:t>
      </w:r>
      <w:r>
        <w:rPr>
          <w:rFonts w:hint="eastAsia" w:ascii="方正仿宋_GBK" w:hAnsi="宋体" w:eastAsia="方正仿宋_GBK" w:cs="宋体"/>
          <w:color w:val="000000" w:themeColor="text1"/>
          <w:sz w:val="32"/>
          <w:szCs w:val="32"/>
          <w:lang w:val="en-US" w:eastAsia="zh-CN"/>
          <w14:textFill>
            <w14:solidFill>
              <w14:schemeClr w14:val="tx1"/>
            </w14:solidFill>
          </w14:textFill>
        </w:rPr>
        <w:t>/套</w:t>
      </w:r>
      <w:r>
        <w:rPr>
          <w:rFonts w:hint="eastAsia" w:ascii="方正仿宋_GBK" w:hAnsi="宋体" w:eastAsia="方正仿宋_GBK" w:cs="宋体"/>
          <w:color w:val="000000" w:themeColor="text1"/>
          <w:sz w:val="32"/>
          <w:szCs w:val="32"/>
          <w14:textFill>
            <w14:solidFill>
              <w14:schemeClr w14:val="tx1"/>
            </w14:solidFill>
          </w14:textFill>
        </w:rPr>
        <w:t>）</w:t>
      </w:r>
      <w:r>
        <w:rPr>
          <w:rFonts w:hint="eastAsia" w:ascii="方正仿宋_GBK" w:hAnsi="宋体" w:eastAsia="方正仿宋_GBK" w:cs="宋体"/>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检验依据</w:t>
      </w:r>
    </w:p>
    <w:p>
      <w:pPr>
        <w:widowControl/>
        <w:spacing w:line="440" w:lineRule="exact"/>
        <w:jc w:val="center"/>
        <w:rPr>
          <w:rFonts w:hint="eastAsia" w:ascii="宋体" w:hAnsi="宋体" w:eastAsia="宋体" w:cs="宋体"/>
          <w:szCs w:val="21"/>
        </w:rPr>
      </w:pPr>
      <w:r>
        <w:rPr>
          <w:rFonts w:hint="eastAsia" w:ascii="宋体" w:hAnsi="宋体" w:eastAsia="宋体" w:cs="宋体"/>
          <w:szCs w:val="21"/>
          <w:lang w:val="en-US" w:eastAsia="zh-CN"/>
        </w:rPr>
        <w:t>夏</w:t>
      </w:r>
      <w:r>
        <w:rPr>
          <w:rFonts w:hint="eastAsia" w:ascii="宋体" w:hAnsi="宋体" w:eastAsia="宋体" w:cs="宋体"/>
          <w:szCs w:val="21"/>
        </w:rPr>
        <w:t>被</w:t>
      </w:r>
      <w:r>
        <w:rPr>
          <w:rFonts w:hint="eastAsia" w:ascii="宋体" w:hAnsi="宋体" w:eastAsia="宋体" w:cs="宋体"/>
          <w:color w:val="000000"/>
          <w:szCs w:val="21"/>
        </w:rPr>
        <w:t>产品检验项目、依据及方法</w:t>
      </w:r>
    </w:p>
    <w:tbl>
      <w:tblPr>
        <w:tblStyle w:val="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976"/>
        <w:gridCol w:w="2781"/>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序号</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检验检测项目</w:t>
            </w:r>
          </w:p>
        </w:tc>
        <w:tc>
          <w:tcPr>
            <w:tcW w:w="278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检验检测依据</w:t>
            </w:r>
          </w:p>
        </w:tc>
        <w:tc>
          <w:tcPr>
            <w:tcW w:w="27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检验检测方法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1</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异味</w:t>
            </w:r>
          </w:p>
        </w:tc>
        <w:tc>
          <w:tcPr>
            <w:tcW w:w="27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GB 18401-2010</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相应产品标准</w:t>
            </w:r>
          </w:p>
        </w:tc>
        <w:tc>
          <w:tcPr>
            <w:tcW w:w="27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GB 18401-2010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2</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甲醛含量（面料）</w:t>
            </w:r>
          </w:p>
        </w:tc>
        <w:tc>
          <w:tcPr>
            <w:tcW w:w="27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p>
        </w:tc>
        <w:tc>
          <w:tcPr>
            <w:tcW w:w="27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GB/T2912.1-2009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3</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pH值（面料）</w:t>
            </w:r>
          </w:p>
        </w:tc>
        <w:tc>
          <w:tcPr>
            <w:tcW w:w="27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p>
        </w:tc>
        <w:tc>
          <w:tcPr>
            <w:tcW w:w="27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GB/T7573-2009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lang w:eastAsia="zh-CN"/>
              </w:rPr>
            </w:pPr>
            <w:r>
              <w:rPr>
                <w:rFonts w:hint="eastAsia" w:ascii="宋体" w:hAnsi="宋体" w:eastAsia="宋体" w:cs="宋体"/>
                <w:szCs w:val="21"/>
                <w:lang w:val="en-US" w:eastAsia="zh-CN"/>
              </w:rPr>
              <w:t>4</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耐水色牢度（面料）</w:t>
            </w:r>
          </w:p>
        </w:tc>
        <w:tc>
          <w:tcPr>
            <w:tcW w:w="27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p>
        </w:tc>
        <w:tc>
          <w:tcPr>
            <w:tcW w:w="27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GB/T5713-2013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lang w:eastAsia="zh-CN"/>
              </w:rPr>
            </w:pPr>
            <w:r>
              <w:rPr>
                <w:rFonts w:hint="eastAsia" w:ascii="宋体" w:hAnsi="宋体" w:eastAsia="宋体" w:cs="宋体"/>
                <w:szCs w:val="21"/>
                <w:lang w:val="en-US" w:eastAsia="zh-CN"/>
              </w:rPr>
              <w:t>5</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耐酸、碱汗渍色牢度（面料）</w:t>
            </w:r>
          </w:p>
        </w:tc>
        <w:tc>
          <w:tcPr>
            <w:tcW w:w="27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p>
        </w:tc>
        <w:tc>
          <w:tcPr>
            <w:tcW w:w="27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GB/T3922-2013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lang w:eastAsia="zh-CN"/>
              </w:rPr>
            </w:pPr>
            <w:r>
              <w:rPr>
                <w:rFonts w:hint="eastAsia" w:ascii="宋体" w:hAnsi="宋体" w:eastAsia="宋体" w:cs="宋体"/>
                <w:szCs w:val="21"/>
                <w:lang w:val="en-US" w:eastAsia="zh-CN"/>
              </w:rPr>
              <w:t>6</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耐干、湿摩擦色牢度（面料）</w:t>
            </w:r>
          </w:p>
        </w:tc>
        <w:tc>
          <w:tcPr>
            <w:tcW w:w="27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p>
        </w:tc>
        <w:tc>
          <w:tcPr>
            <w:tcW w:w="27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GB/T3920-2008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lang w:eastAsia="zh-CN"/>
              </w:rPr>
            </w:pPr>
            <w:r>
              <w:rPr>
                <w:rFonts w:hint="eastAsia" w:ascii="宋体" w:hAnsi="宋体" w:eastAsia="宋体" w:cs="宋体"/>
                <w:szCs w:val="21"/>
                <w:lang w:val="en-US" w:eastAsia="zh-CN"/>
              </w:rPr>
              <w:t>7</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耐皂洗色牢度（面料）</w:t>
            </w:r>
          </w:p>
        </w:tc>
        <w:tc>
          <w:tcPr>
            <w:tcW w:w="27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p>
        </w:tc>
        <w:tc>
          <w:tcPr>
            <w:tcW w:w="27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GB/T3921-2008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lang w:eastAsia="zh-CN"/>
              </w:rPr>
            </w:pPr>
            <w:r>
              <w:rPr>
                <w:rFonts w:hint="eastAsia" w:ascii="宋体" w:hAnsi="宋体" w:eastAsia="宋体" w:cs="宋体"/>
                <w:szCs w:val="21"/>
                <w:lang w:val="en-US" w:eastAsia="zh-CN"/>
              </w:rPr>
              <w:t>8</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纤维含量（面料、填充物）</w:t>
            </w:r>
          </w:p>
        </w:tc>
        <w:tc>
          <w:tcPr>
            <w:tcW w:w="278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GB/T29862-2013</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相应产品标准</w:t>
            </w:r>
          </w:p>
        </w:tc>
        <w:tc>
          <w:tcPr>
            <w:tcW w:w="27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FZ/T01057-2007</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GB/T2910-2009等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lang w:eastAsia="zh-CN"/>
              </w:rPr>
            </w:pPr>
            <w:r>
              <w:rPr>
                <w:rFonts w:hint="eastAsia" w:ascii="宋体" w:hAnsi="宋体" w:eastAsia="宋体" w:cs="宋体"/>
                <w:szCs w:val="21"/>
                <w:lang w:val="en-US" w:eastAsia="zh-CN"/>
              </w:rPr>
              <w:t>9</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絮用纤维原料要求</w:t>
            </w:r>
          </w:p>
        </w:tc>
        <w:tc>
          <w:tcPr>
            <w:tcW w:w="278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GB18383-2007中4.1.1、4.1.2、4.1.4</w:t>
            </w:r>
          </w:p>
        </w:tc>
        <w:tc>
          <w:tcPr>
            <w:tcW w:w="27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GB18383-2007中5.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备注</w:t>
            </w:r>
          </w:p>
        </w:tc>
        <w:tc>
          <w:tcPr>
            <w:tcW w:w="74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w:t>
            </w:r>
            <w:r>
              <w:rPr>
                <w:rFonts w:hint="eastAsia" w:ascii="宋体" w:hAnsi="宋体" w:eastAsia="宋体" w:cs="宋体"/>
                <w:szCs w:val="21"/>
              </w:rPr>
              <w:t>耐皂洗色牢度仅考核标注可水洗产品。</w:t>
            </w:r>
          </w:p>
        </w:tc>
      </w:tr>
    </w:tbl>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检验方法包括相关产品标准及试验方法标准。</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4.判定规则</w:t>
      </w:r>
    </w:p>
    <w:p>
      <w:pPr>
        <w:spacing w:line="600" w:lineRule="exact"/>
        <w:ind w:firstLine="640" w:firstLineChars="200"/>
        <w:rPr>
          <w:rFonts w:hint="eastAsia" w:ascii="方正黑体_GBK" w:hAnsi="宋体" w:eastAsia="方正黑体_GBK" w:cs="宋体"/>
          <w:bCs/>
          <w:sz w:val="32"/>
          <w:szCs w:val="32"/>
        </w:rPr>
      </w:pPr>
      <w:r>
        <w:rPr>
          <w:rFonts w:hint="eastAsia" w:ascii="方正黑体_GBK" w:hAnsi="宋体" w:eastAsia="方正黑体_GBK" w:cs="宋体"/>
          <w:bCs/>
          <w:sz w:val="32"/>
          <w:szCs w:val="32"/>
        </w:rPr>
        <w:t>4.1依据标准</w:t>
      </w:r>
    </w:p>
    <w:p>
      <w:pPr>
        <w:spacing w:line="600" w:lineRule="exact"/>
        <w:ind w:firstLine="640" w:firstLineChars="200"/>
        <w:rPr>
          <w:rFonts w:ascii="方正仿宋_GBK" w:hAnsi="宋体" w:eastAsia="方正仿宋_GBK" w:cs="宋体"/>
          <w:sz w:val="32"/>
          <w:szCs w:val="32"/>
        </w:rPr>
      </w:pPr>
      <w:bookmarkStart w:id="0" w:name="_Hlk71810845"/>
      <w:bookmarkStart w:id="1" w:name="_Hlk95471439"/>
      <w:r>
        <w:rPr>
          <w:rFonts w:hint="eastAsia" w:ascii="方正仿宋_GBK" w:hAnsi="宋体" w:eastAsia="方正仿宋_GBK" w:cs="宋体"/>
          <w:sz w:val="32"/>
          <w:szCs w:val="32"/>
        </w:rPr>
        <w:t>CCGF 101.1-2015  《床上用品产品质量监督抽查实施规范》</w:t>
      </w:r>
    </w:p>
    <w:bookmarkEnd w:id="0"/>
    <w:bookmarkEnd w:id="1"/>
    <w:p>
      <w:pPr>
        <w:spacing w:line="60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GB 18383-2007 《絮用纤维制品通用技术要求》</w:t>
      </w:r>
    </w:p>
    <w:p>
      <w:pPr>
        <w:spacing w:line="60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GB 18401-2010 《国家纺织产品基本安全技术规范》</w:t>
      </w:r>
    </w:p>
    <w:p>
      <w:pPr>
        <w:spacing w:line="60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GB/T 29862-2013 《纺织品 纤维含量的标识》</w:t>
      </w:r>
    </w:p>
    <w:p>
      <w:pPr>
        <w:spacing w:line="60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GB/T 22796-2009 《被、被套》</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GB/T 22796-2021《床上用品》</w:t>
      </w:r>
    </w:p>
    <w:p>
      <w:pPr>
        <w:spacing w:line="60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相关的法律法规、部门规章和规范</w:t>
      </w:r>
    </w:p>
    <w:p>
      <w:pPr>
        <w:spacing w:line="60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经备案现行有效的企业标准及产品明示质量要求等</w:t>
      </w:r>
    </w:p>
    <w:p>
      <w:pPr>
        <w:spacing w:line="600" w:lineRule="exact"/>
        <w:ind w:firstLine="640" w:firstLineChars="200"/>
        <w:rPr>
          <w:rFonts w:hint="eastAsia" w:ascii="方正黑体_GBK" w:hAnsi="宋体" w:eastAsia="方正黑体_GBK" w:cs="宋体"/>
          <w:bCs/>
          <w:sz w:val="32"/>
          <w:szCs w:val="32"/>
        </w:rPr>
      </w:pPr>
      <w:r>
        <w:rPr>
          <w:rFonts w:hint="eastAsia" w:ascii="方正黑体_GBK" w:hAnsi="宋体" w:eastAsia="方正黑体_GBK" w:cs="宋体"/>
          <w:bCs/>
          <w:sz w:val="32"/>
          <w:szCs w:val="32"/>
        </w:rPr>
        <w:t>4.2判定原则</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经检验，检验项目全部合格，判定为被抽查产品未发现不合格；检验项目中任一项或一项以上不合格，判定为被抽查产品不合格。</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若被检产品明示的质量要求高于本细则中检验项目依据的标准要求时，应按被检产品明示的质量要求判定。</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若被检产品明示的质量要求低于本细则中检验项目依据的强制性标准要求时，应按照强制性标准要求判定。</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若被检产品明示的质量要求低于或包含细则中检验项目依据的推荐性标准要求时，应以被检产品明示的质量要求判定，但应在检验报告备注中进行说明。</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若被检产品明示的质量要求缺少本细则中检验项目依据的强制性标准要求时，应按照强制性标准要求判定。</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若被检产品明示的质量要求缺少本细则中检验项目依据的推荐性标准要求时，该项目不参与判定，但应在检验报告备注中进行说明。</w:t>
      </w:r>
    </w:p>
    <w:p>
      <w:pPr>
        <w:spacing w:line="60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检验项目严格按照标准中规定检验方法，若标准中具有不同的检验方法，优先采用仲裁法。</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无法识别产品标准版本的，按新版标准实施，企业提供有效证据的除外。</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5.异议处理</w:t>
      </w:r>
    </w:p>
    <w:p>
      <w:pPr>
        <w:spacing w:line="600" w:lineRule="exact"/>
        <w:ind w:firstLine="643" w:firstLineChars="200"/>
        <w:rPr>
          <w:rFonts w:hint="eastAsia" w:ascii="方正仿宋_GBK" w:hAnsi="宋体" w:eastAsia="方正仿宋_GBK" w:cs="宋体"/>
          <w:sz w:val="32"/>
          <w:szCs w:val="32"/>
        </w:rPr>
      </w:pPr>
      <w:r>
        <w:rPr>
          <w:rFonts w:hint="eastAsia" w:ascii="方正仿宋_GBK" w:hAnsi="宋体" w:eastAsia="方正仿宋_GBK" w:cs="宋体"/>
          <w:b/>
          <w:bCs/>
          <w:sz w:val="32"/>
          <w:szCs w:val="32"/>
        </w:rPr>
        <w:t>5.1</w:t>
      </w:r>
      <w:r>
        <w:rPr>
          <w:rFonts w:hint="eastAsia" w:ascii="方正仿宋_GBK" w:hAnsi="宋体" w:eastAsia="方正仿宋_GBK" w:cs="宋体"/>
          <w:sz w:val="32"/>
          <w:szCs w:val="32"/>
        </w:rPr>
        <w:t>对</w:t>
      </w:r>
      <w:r>
        <w:rPr>
          <w:rFonts w:hint="eastAsia" w:ascii="方正仿宋_GBK" w:hAnsi="宋体" w:eastAsia="方正仿宋_GBK" w:cs="宋体"/>
          <w:sz w:val="32"/>
          <w:szCs w:val="32"/>
          <w:lang w:val="en-US" w:eastAsia="zh-CN"/>
        </w:rPr>
        <w:t>专项</w:t>
      </w:r>
      <w:r>
        <w:rPr>
          <w:rFonts w:hint="eastAsia" w:ascii="方正仿宋_GBK" w:hAnsi="宋体" w:eastAsia="方正仿宋_GBK" w:cs="宋体"/>
          <w:sz w:val="32"/>
          <w:szCs w:val="32"/>
        </w:rPr>
        <w:t>抽查程序有异议的，由任务下达部门核查相关证据后维持或者撤销原检验结果。</w:t>
      </w:r>
    </w:p>
    <w:p>
      <w:pPr>
        <w:spacing w:line="600" w:lineRule="exact"/>
        <w:ind w:firstLine="643" w:firstLineChars="200"/>
        <w:rPr>
          <w:rFonts w:hint="eastAsia" w:ascii="方正仿宋_GBK" w:hAnsi="宋体" w:eastAsia="方正仿宋_GBK" w:cs="宋体"/>
          <w:sz w:val="32"/>
          <w:szCs w:val="32"/>
        </w:rPr>
      </w:pPr>
      <w:r>
        <w:rPr>
          <w:rFonts w:hint="eastAsia" w:ascii="方正仿宋_GBK" w:hAnsi="宋体" w:eastAsia="方正仿宋_GBK" w:cs="宋体"/>
          <w:b/>
          <w:bCs/>
          <w:sz w:val="32"/>
          <w:szCs w:val="32"/>
        </w:rPr>
        <w:t>5.2</w:t>
      </w:r>
      <w:r>
        <w:rPr>
          <w:rFonts w:hint="eastAsia" w:ascii="方正仿宋_GBK" w:hAnsi="宋体" w:eastAsia="方正仿宋_GBK" w:cs="宋体"/>
          <w:sz w:val="32"/>
          <w:szCs w:val="32"/>
        </w:rPr>
        <w:t>对检验结果有异议的，任务下达部门核查相关证据，能够证明原检验结果准确的，维持原检验结果；不能证明原检验结果准确，需要进行复检的，由任务下达部门指定复检机构进行复检，复检结果为本次</w:t>
      </w:r>
      <w:r>
        <w:rPr>
          <w:rFonts w:hint="eastAsia" w:ascii="方正仿宋_GBK" w:hAnsi="宋体" w:eastAsia="方正仿宋_GBK" w:cs="宋体"/>
          <w:sz w:val="32"/>
          <w:szCs w:val="32"/>
          <w:lang w:val="en-US" w:eastAsia="zh-CN"/>
        </w:rPr>
        <w:t>专项</w:t>
      </w:r>
      <w:r>
        <w:rPr>
          <w:rFonts w:hint="eastAsia" w:ascii="方正仿宋_GBK" w:hAnsi="宋体" w:eastAsia="方正仿宋_GBK" w:cs="宋体"/>
          <w:sz w:val="32"/>
          <w:szCs w:val="32"/>
        </w:rPr>
        <w:t>抽查最终结论。</w:t>
      </w:r>
    </w:p>
    <w:p>
      <w:pPr>
        <w:spacing w:line="600" w:lineRule="exact"/>
        <w:ind w:firstLine="643" w:firstLineChars="200"/>
        <w:rPr>
          <w:rFonts w:hint="eastAsia" w:ascii="方正仿宋_GBK" w:hAnsi="宋体" w:eastAsia="方正仿宋_GBK" w:cs="宋体"/>
          <w:sz w:val="32"/>
          <w:szCs w:val="32"/>
        </w:rPr>
      </w:pPr>
      <w:r>
        <w:rPr>
          <w:rFonts w:hint="eastAsia" w:ascii="方正仿宋_GBK" w:hAnsi="宋体" w:eastAsia="方正仿宋_GBK" w:cs="宋体"/>
          <w:b/>
          <w:bCs/>
          <w:sz w:val="32"/>
          <w:szCs w:val="32"/>
        </w:rPr>
        <w:t>5.3</w:t>
      </w:r>
      <w:r>
        <w:rPr>
          <w:rFonts w:hint="eastAsia" w:ascii="方正仿宋_GBK" w:hAnsi="宋体" w:eastAsia="方正仿宋_GBK" w:cs="宋体"/>
          <w:sz w:val="32"/>
          <w:szCs w:val="32"/>
        </w:rPr>
        <w:t>对样品信息有异议的，任务下达部门核查样品确认情况和生产企业提交证明材料后，维持或者撤销原检验结果。</w:t>
      </w:r>
    </w:p>
    <w:p>
      <w:pPr>
        <w:keepNext w:val="0"/>
        <w:keepLines w:val="0"/>
        <w:pageBreakBefore w:val="0"/>
        <w:widowControl w:val="0"/>
        <w:kinsoku/>
        <w:wordWrap/>
        <w:overflowPunct/>
        <w:topLinePunct w:val="0"/>
        <w:autoSpaceDE/>
        <w:autoSpaceDN/>
        <w:bidi w:val="0"/>
        <w:spacing w:line="600" w:lineRule="exact"/>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0EBDDE"/>
    <w:multiLevelType w:val="singleLevel"/>
    <w:tmpl w:val="500EBDDE"/>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NjVlNmU5OTIzNWNjOGYyOWIwNmI1NzMwYzMyYTQifQ=="/>
  </w:docVars>
  <w:rsids>
    <w:rsidRoot w:val="00000000"/>
    <w:rsid w:val="00B32474"/>
    <w:rsid w:val="01EC0334"/>
    <w:rsid w:val="047549CC"/>
    <w:rsid w:val="0B260E68"/>
    <w:rsid w:val="1180065A"/>
    <w:rsid w:val="1B527002"/>
    <w:rsid w:val="1D6754BC"/>
    <w:rsid w:val="1E564C48"/>
    <w:rsid w:val="20520D39"/>
    <w:rsid w:val="21621621"/>
    <w:rsid w:val="2291647A"/>
    <w:rsid w:val="255423DE"/>
    <w:rsid w:val="27503FB5"/>
    <w:rsid w:val="287A0B9F"/>
    <w:rsid w:val="29CE569E"/>
    <w:rsid w:val="2E690493"/>
    <w:rsid w:val="30913D4B"/>
    <w:rsid w:val="35E11800"/>
    <w:rsid w:val="37712C33"/>
    <w:rsid w:val="3C7228B9"/>
    <w:rsid w:val="3CA57A27"/>
    <w:rsid w:val="3E813383"/>
    <w:rsid w:val="3F8769CB"/>
    <w:rsid w:val="45554E75"/>
    <w:rsid w:val="514C5C9F"/>
    <w:rsid w:val="54C112CC"/>
    <w:rsid w:val="56C43C09"/>
    <w:rsid w:val="5A793BB6"/>
    <w:rsid w:val="5A912603"/>
    <w:rsid w:val="5A963D30"/>
    <w:rsid w:val="5D8B722E"/>
    <w:rsid w:val="5EE765A7"/>
    <w:rsid w:val="5F337C62"/>
    <w:rsid w:val="610C6736"/>
    <w:rsid w:val="63A31776"/>
    <w:rsid w:val="691D75BD"/>
    <w:rsid w:val="6AC25211"/>
    <w:rsid w:val="6BC35959"/>
    <w:rsid w:val="6F5B3D5F"/>
    <w:rsid w:val="74D53C87"/>
    <w:rsid w:val="7F775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Calibri" w:hAnsi="Calibri"/>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1119</Words>
  <Characters>1371</Characters>
  <Lines>0</Lines>
  <Paragraphs>0</Paragraphs>
  <TotalTime>9</TotalTime>
  <ScaleCrop>false</ScaleCrop>
  <LinksUpToDate>false</LinksUpToDate>
  <CharactersWithSpaces>1387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2024-01-26T06:08:00Z</dcterms:created>
  <dc:creator>Administrator</dc:creator>
  <cp:lastModifiedBy>user</cp:lastModifiedBy>
  <dcterms:modified xsi:type="dcterms:W3CDTF">2026-03-11T09:23:12Z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AA6B84E979D74062BC864CFC2F34B589_13</vt:lpwstr>
  </property>
  <property fmtid="{D5CDD505-2E9C-101B-9397-08002B2CF9AE}" pid="4" name="KSOTemplateDocerSaveRecord">
    <vt:lpwstr>eyJoZGlkIjoiZmIzNmNkNmExZTk4NjFmNmZhOTBlZjllZGEwNjM3YzQiLCJ1c2VySWQiOiI4Njk3ODcwMTAifQ==</vt:lpwstr>
  </property>
</Properties>
</file>