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950" w:rsidRDefault="00AE0950">
      <w:pPr>
        <w:jc w:val="center"/>
        <w:rPr>
          <w:b/>
          <w:bCs/>
          <w:sz w:val="52"/>
          <w:szCs w:val="52"/>
        </w:rPr>
      </w:pPr>
    </w:p>
    <w:p w:rsidR="00AE0950" w:rsidRDefault="00AE0950">
      <w:pPr>
        <w:jc w:val="center"/>
        <w:rPr>
          <w:b/>
          <w:bCs/>
          <w:sz w:val="52"/>
          <w:szCs w:val="52"/>
        </w:rPr>
      </w:pPr>
    </w:p>
    <w:p w:rsidR="00AE0950" w:rsidRDefault="00063D2A">
      <w:pPr>
        <w:jc w:val="center"/>
        <w:rPr>
          <w:b/>
          <w:bCs/>
          <w:sz w:val="52"/>
          <w:szCs w:val="52"/>
        </w:rPr>
      </w:pPr>
      <w:r>
        <w:rPr>
          <w:rFonts w:hint="eastAsia"/>
          <w:b/>
          <w:bCs/>
          <w:sz w:val="52"/>
          <w:szCs w:val="52"/>
        </w:rPr>
        <w:t>南通市商业秘密保护</w:t>
      </w:r>
    </w:p>
    <w:p w:rsidR="00AE0950" w:rsidRDefault="00063D2A">
      <w:pPr>
        <w:jc w:val="center"/>
        <w:rPr>
          <w:b/>
          <w:bCs/>
          <w:sz w:val="52"/>
          <w:szCs w:val="52"/>
        </w:rPr>
      </w:pPr>
      <w:r>
        <w:rPr>
          <w:rFonts w:hint="eastAsia"/>
          <w:b/>
          <w:bCs/>
          <w:sz w:val="52"/>
          <w:szCs w:val="52"/>
        </w:rPr>
        <w:t>网络培训</w:t>
      </w:r>
    </w:p>
    <w:p w:rsidR="00AE0950" w:rsidRDefault="00AE0950">
      <w:pPr>
        <w:jc w:val="center"/>
        <w:rPr>
          <w:b/>
          <w:bCs/>
          <w:sz w:val="52"/>
          <w:szCs w:val="52"/>
        </w:rPr>
      </w:pPr>
    </w:p>
    <w:p w:rsidR="00AE0950" w:rsidRDefault="00063D2A">
      <w:pPr>
        <w:jc w:val="center"/>
        <w:rPr>
          <w:b/>
          <w:bCs/>
          <w:sz w:val="52"/>
          <w:szCs w:val="52"/>
        </w:rPr>
      </w:pPr>
      <w:r>
        <w:rPr>
          <w:b/>
          <w:bCs/>
          <w:sz w:val="52"/>
          <w:szCs w:val="52"/>
        </w:rPr>
        <w:t>学</w:t>
      </w:r>
    </w:p>
    <w:p w:rsidR="00AE0950" w:rsidRDefault="00063D2A">
      <w:pPr>
        <w:jc w:val="center"/>
        <w:rPr>
          <w:b/>
          <w:bCs/>
          <w:sz w:val="52"/>
          <w:szCs w:val="52"/>
        </w:rPr>
      </w:pPr>
      <w:r>
        <w:rPr>
          <w:rFonts w:hint="eastAsia"/>
          <w:b/>
          <w:bCs/>
          <w:sz w:val="52"/>
          <w:szCs w:val="52"/>
        </w:rPr>
        <w:t>员</w:t>
      </w:r>
    </w:p>
    <w:p w:rsidR="00AE0950" w:rsidRDefault="00063D2A">
      <w:pPr>
        <w:jc w:val="center"/>
        <w:rPr>
          <w:b/>
          <w:bCs/>
          <w:sz w:val="52"/>
          <w:szCs w:val="52"/>
        </w:rPr>
      </w:pPr>
      <w:r>
        <w:rPr>
          <w:rFonts w:hint="eastAsia"/>
          <w:b/>
          <w:bCs/>
          <w:sz w:val="52"/>
          <w:szCs w:val="52"/>
        </w:rPr>
        <w:t>手</w:t>
      </w:r>
    </w:p>
    <w:p w:rsidR="00AE0950" w:rsidRDefault="00063D2A">
      <w:pPr>
        <w:jc w:val="center"/>
        <w:rPr>
          <w:b/>
          <w:bCs/>
          <w:sz w:val="52"/>
          <w:szCs w:val="52"/>
        </w:rPr>
      </w:pPr>
      <w:r>
        <w:rPr>
          <w:rFonts w:hint="eastAsia"/>
          <w:b/>
          <w:bCs/>
          <w:sz w:val="52"/>
          <w:szCs w:val="52"/>
        </w:rPr>
        <w:t>册</w:t>
      </w:r>
    </w:p>
    <w:p w:rsidR="00AE0950" w:rsidRDefault="00AE0950">
      <w:pPr>
        <w:rPr>
          <w:sz w:val="52"/>
          <w:szCs w:val="52"/>
        </w:rPr>
      </w:pPr>
    </w:p>
    <w:p w:rsidR="00AE0950" w:rsidRDefault="00AE0950">
      <w:pPr>
        <w:rPr>
          <w:rFonts w:hint="eastAsia"/>
          <w:sz w:val="52"/>
          <w:szCs w:val="52"/>
        </w:rPr>
      </w:pPr>
    </w:p>
    <w:p w:rsidR="004B146D" w:rsidRDefault="004B146D">
      <w:pPr>
        <w:rPr>
          <w:sz w:val="52"/>
          <w:szCs w:val="52"/>
        </w:rPr>
      </w:pPr>
    </w:p>
    <w:p w:rsidR="00AE0950" w:rsidRDefault="00AE0950">
      <w:pPr>
        <w:rPr>
          <w:sz w:val="24"/>
        </w:rPr>
      </w:pPr>
    </w:p>
    <w:p w:rsidR="00AE0950" w:rsidRDefault="00AE0950">
      <w:pPr>
        <w:rPr>
          <w:sz w:val="24"/>
        </w:rPr>
        <w:sectPr w:rsidR="00AE0950">
          <w:pgSz w:w="11906" w:h="16838"/>
          <w:pgMar w:top="1440" w:right="1800" w:bottom="1440" w:left="1800" w:header="851" w:footer="992" w:gutter="0"/>
          <w:cols w:space="720"/>
          <w:docGrid w:type="lines" w:linePitch="312"/>
        </w:sectPr>
      </w:pPr>
    </w:p>
    <w:p w:rsidR="00AE0950" w:rsidRDefault="00063D2A">
      <w:pPr>
        <w:spacing w:line="520" w:lineRule="exact"/>
        <w:jc w:val="center"/>
        <w:rPr>
          <w:rFonts w:ascii="黑体" w:eastAsia="黑体" w:hAnsi="黑体" w:cs="黑体"/>
          <w:b/>
          <w:bCs/>
          <w:sz w:val="36"/>
          <w:szCs w:val="36"/>
        </w:rPr>
      </w:pPr>
      <w:r>
        <w:rPr>
          <w:rFonts w:ascii="黑体" w:eastAsia="黑体" w:hAnsi="黑体" w:cs="黑体"/>
          <w:b/>
          <w:bCs/>
          <w:sz w:val="36"/>
          <w:szCs w:val="36"/>
        </w:rPr>
        <w:lastRenderedPageBreak/>
        <w:t>一</w:t>
      </w:r>
      <w:r>
        <w:rPr>
          <w:rFonts w:ascii="黑体" w:eastAsia="黑体" w:hAnsi="黑体" w:cs="黑体" w:hint="eastAsia"/>
          <w:b/>
          <w:bCs/>
          <w:sz w:val="36"/>
          <w:szCs w:val="36"/>
        </w:rPr>
        <w:t>、</w:t>
      </w:r>
      <w:r>
        <w:rPr>
          <w:rFonts w:ascii="黑体" w:eastAsia="黑体" w:hAnsi="黑体" w:cs="黑体"/>
          <w:b/>
          <w:bCs/>
          <w:sz w:val="36"/>
          <w:szCs w:val="36"/>
        </w:rPr>
        <w:t>学员须知</w:t>
      </w:r>
    </w:p>
    <w:p w:rsidR="00AE0950" w:rsidRDefault="00063D2A">
      <w:pPr>
        <w:spacing w:line="520" w:lineRule="exact"/>
        <w:ind w:firstLineChars="200" w:firstLine="480"/>
        <w:rPr>
          <w:rFonts w:ascii="宋体" w:hAnsi="宋体"/>
          <w:sz w:val="24"/>
        </w:rPr>
      </w:pPr>
      <w:r>
        <w:rPr>
          <w:rFonts w:ascii="宋体" w:hAnsi="宋体" w:hint="eastAsia"/>
          <w:sz w:val="24"/>
        </w:rPr>
        <w:t>欢迎您参加南通市商业秘密保护网络培训。为确保培训工作的有序开展请注意下列事项：</w:t>
      </w:r>
      <w:bookmarkStart w:id="0" w:name="_GoBack"/>
      <w:bookmarkEnd w:id="0"/>
    </w:p>
    <w:p w:rsidR="00AE0950" w:rsidRDefault="00063D2A">
      <w:pPr>
        <w:spacing w:line="520" w:lineRule="exact"/>
        <w:ind w:firstLineChars="200" w:firstLine="480"/>
        <w:rPr>
          <w:rFonts w:ascii="宋体" w:hAnsi="宋体"/>
          <w:sz w:val="24"/>
        </w:rPr>
      </w:pPr>
      <w:r>
        <w:rPr>
          <w:rFonts w:ascii="宋体" w:hAnsi="宋体" w:hint="eastAsia"/>
          <w:sz w:val="24"/>
        </w:rPr>
        <w:t>一、请熟悉《学员手册》的有关课程安排和管理文件。</w:t>
      </w:r>
    </w:p>
    <w:p w:rsidR="00AE0950" w:rsidRDefault="00063D2A">
      <w:pPr>
        <w:spacing w:line="520" w:lineRule="exact"/>
        <w:ind w:firstLineChars="200" w:firstLine="480"/>
        <w:rPr>
          <w:rFonts w:ascii="宋体" w:hAnsi="宋体"/>
          <w:sz w:val="24"/>
        </w:rPr>
      </w:pPr>
      <w:r>
        <w:rPr>
          <w:rFonts w:ascii="宋体" w:hAnsi="宋体" w:hint="eastAsia"/>
          <w:sz w:val="24"/>
        </w:rPr>
        <w:t>二、课程：</w:t>
      </w:r>
    </w:p>
    <w:p w:rsidR="00AE0950" w:rsidRDefault="00063D2A">
      <w:pPr>
        <w:spacing w:line="520" w:lineRule="exact"/>
        <w:ind w:firstLineChars="200" w:firstLine="480"/>
        <w:rPr>
          <w:rFonts w:ascii="宋体" w:hAnsi="宋体"/>
          <w:sz w:val="24"/>
        </w:rPr>
      </w:pPr>
      <w:r>
        <w:rPr>
          <w:rFonts w:ascii="宋体" w:hAnsi="宋体" w:hint="eastAsia"/>
          <w:sz w:val="24"/>
        </w:rPr>
        <w:t>培训方式：网络在线授课</w:t>
      </w:r>
    </w:p>
    <w:p w:rsidR="00AE0950" w:rsidRDefault="00063D2A">
      <w:pPr>
        <w:spacing w:line="520" w:lineRule="exact"/>
        <w:jc w:val="center"/>
        <w:rPr>
          <w:rFonts w:ascii="黑体" w:eastAsia="黑体" w:hAnsi="黑体" w:cs="黑体"/>
          <w:b/>
          <w:bCs/>
          <w:sz w:val="36"/>
          <w:szCs w:val="36"/>
        </w:rPr>
      </w:pPr>
      <w:r>
        <w:rPr>
          <w:rFonts w:ascii="黑体" w:eastAsia="黑体" w:hAnsi="黑体" w:cs="黑体" w:hint="eastAsia"/>
          <w:b/>
          <w:bCs/>
          <w:sz w:val="36"/>
          <w:szCs w:val="36"/>
        </w:rPr>
        <w:t>二、课程概况</w:t>
      </w:r>
    </w:p>
    <w:p w:rsidR="00AE0950" w:rsidRDefault="00063D2A">
      <w:pPr>
        <w:spacing w:line="520" w:lineRule="exact"/>
        <w:ind w:firstLineChars="200" w:firstLine="480"/>
        <w:rPr>
          <w:rFonts w:ascii="宋体" w:hAnsi="宋体"/>
          <w:sz w:val="24"/>
        </w:rPr>
      </w:pPr>
      <w:r>
        <w:rPr>
          <w:rFonts w:ascii="宋体" w:hAnsi="宋体" w:hint="eastAsia"/>
          <w:sz w:val="24"/>
        </w:rPr>
        <w:t>第一期基础类课程，由5个不同主题方向的课程综合而成，每课程时长 20-30 分钟。主要科目包括：</w:t>
      </w:r>
    </w:p>
    <w:p w:rsidR="00AE0950" w:rsidRDefault="00063D2A">
      <w:pPr>
        <w:spacing w:line="520" w:lineRule="exact"/>
        <w:ind w:firstLineChars="200" w:firstLine="480"/>
        <w:rPr>
          <w:rFonts w:ascii="宋体" w:hAnsi="宋体"/>
          <w:sz w:val="24"/>
        </w:rPr>
      </w:pPr>
      <w:r>
        <w:rPr>
          <w:rFonts w:ascii="宋体" w:hAnsi="宋体" w:hint="eastAsia"/>
          <w:sz w:val="24"/>
        </w:rPr>
        <w:t>课程列表和师资如下：</w:t>
      </w:r>
    </w:p>
    <w:tbl>
      <w:tblPr>
        <w:tblW w:w="9800" w:type="dxa"/>
        <w:tblInd w:w="-609" w:type="dxa"/>
        <w:tblLayout w:type="fixed"/>
        <w:tblCellMar>
          <w:left w:w="0" w:type="dxa"/>
          <w:right w:w="0" w:type="dxa"/>
        </w:tblCellMar>
        <w:tblLook w:val="04A0"/>
      </w:tblPr>
      <w:tblGrid>
        <w:gridCol w:w="555"/>
        <w:gridCol w:w="1067"/>
        <w:gridCol w:w="911"/>
        <w:gridCol w:w="3533"/>
        <w:gridCol w:w="556"/>
        <w:gridCol w:w="3178"/>
      </w:tblGrid>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课程方向</w:t>
            </w: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授课专家</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课程主题</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课时</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课程设置意义</w:t>
            </w:r>
          </w:p>
        </w:tc>
      </w:tr>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总顾问</w:t>
            </w: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黄武双</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课程整体规划设计</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AE0950">
            <w:pPr>
              <w:jc w:val="center"/>
              <w:rPr>
                <w:rFonts w:ascii="宋体" w:hAnsi="宋体" w:cs="宋体"/>
                <w:color w:val="000000"/>
                <w:sz w:val="20"/>
                <w:szCs w:val="20"/>
              </w:rPr>
            </w:pP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jc w:val="left"/>
              <w:rPr>
                <w:rFonts w:ascii="宋体" w:hAnsi="宋体" w:cs="宋体"/>
                <w:color w:val="000000"/>
                <w:sz w:val="20"/>
                <w:szCs w:val="20"/>
              </w:rPr>
            </w:pPr>
            <w:r>
              <w:rPr>
                <w:rFonts w:ascii="宋体" w:hAnsi="宋体" w:cs="宋体" w:hint="eastAsia"/>
                <w:color w:val="000000"/>
                <w:sz w:val="20"/>
                <w:szCs w:val="20"/>
              </w:rPr>
              <w:t>总顾问</w:t>
            </w:r>
          </w:p>
        </w:tc>
      </w:tr>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0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专家学者</w:t>
            </w: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董炳和</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《员工离职、入职所涉及商业秘密问题》</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E0950" w:rsidRDefault="00063D2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员工离职与入职过程中商业秘密侵权风险防控</w:t>
            </w:r>
          </w:p>
        </w:tc>
      </w:tr>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0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E0950" w:rsidRDefault="00AE0950">
            <w:pPr>
              <w:jc w:val="center"/>
              <w:rPr>
                <w:rFonts w:ascii="宋体" w:hAnsi="宋体" w:cs="宋体"/>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袁真富</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《商业秘密风险管理的关键控制点》</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E0950" w:rsidRDefault="00063D2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从商业秘密制度、人力资源管理、物理安全防范、法律责任四个方面阐述如何减低商业秘密风险</w:t>
            </w:r>
          </w:p>
        </w:tc>
      </w:tr>
      <w:tr w:rsidR="00AE0950">
        <w:trPr>
          <w:trHeight w:val="48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0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E0950" w:rsidRDefault="00AE0950">
            <w:pPr>
              <w:jc w:val="center"/>
              <w:rPr>
                <w:rFonts w:ascii="宋体" w:hAnsi="宋体" w:cs="宋体"/>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何鹏</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《商业秘密民事诉讼案件原告取证要点》</w:t>
            </w:r>
            <w:r>
              <w:rPr>
                <w:rFonts w:ascii="宋体" w:hAnsi="宋体" w:cs="宋体" w:hint="eastAsia"/>
                <w:color w:val="000000"/>
                <w:kern w:val="0"/>
                <w:sz w:val="20"/>
                <w:szCs w:val="20"/>
              </w:rPr>
              <w:br/>
              <w:t>《商业秘密民事诉讼案件被告抗辩指南》</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E0950" w:rsidRDefault="00063D2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从律师角度讲解商业秘密民事案件中控辩双方如何争取自身最大利益化</w:t>
            </w:r>
          </w:p>
        </w:tc>
      </w:tr>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0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E0950" w:rsidRDefault="00AE0950">
            <w:pPr>
              <w:jc w:val="center"/>
              <w:rPr>
                <w:rFonts w:ascii="宋体" w:hAnsi="宋体" w:cs="宋体"/>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柳楠</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《商业秘密竞业限制》</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竞业限制对于商业秘密保护具有重要意义，课程通过列举竞业限制的类型和相关法律条文，结合案例详解竞业限制协议的运用对象、合同要点以及补偿金标准，为企业针对自身构建合理的竞业限制协议以及员工违反竞业限制义务的救济提供帮助借鉴。</w:t>
            </w:r>
          </w:p>
        </w:tc>
      </w:tr>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0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E0950" w:rsidRDefault="00AE0950">
            <w:pPr>
              <w:jc w:val="center"/>
              <w:rPr>
                <w:rFonts w:ascii="宋体" w:hAnsi="宋体" w:cs="宋体"/>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李伟涛</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《商业秘密基础概览》</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本课程介绍了国家秘密与商业秘密的异同，并结合案例对商业秘密保密措施的制度设计进行了阐述，为企业区分公权与私权及商业秘密的保护具有借鉴意义。</w:t>
            </w:r>
          </w:p>
        </w:tc>
      </w:tr>
      <w:tr w:rsidR="00AE0950">
        <w:trPr>
          <w:trHeight w:val="48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0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公检司执法</w:t>
            </w: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管祖彦</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《商业秘密侵权诉讼的核心——秘点、保密、非公知》</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jc w:val="left"/>
              <w:rPr>
                <w:rFonts w:ascii="宋体" w:hAnsi="宋体" w:cs="宋体"/>
                <w:color w:val="000000"/>
                <w:kern w:val="0"/>
                <w:sz w:val="20"/>
                <w:szCs w:val="20"/>
              </w:rPr>
            </w:pPr>
            <w:r>
              <w:rPr>
                <w:rFonts w:ascii="宋体" w:hAnsi="宋体" w:cs="宋体" w:hint="eastAsia"/>
                <w:color w:val="000000"/>
                <w:kern w:val="0"/>
                <w:sz w:val="20"/>
                <w:szCs w:val="20"/>
              </w:rPr>
              <w:t>通过对商业秘密侵权诉讼中商业秘密基础三要素构成的研究分析，从法律理论基础与实务具体操作两个层面出发，为企业在商业秘密侵权诉讼案件过程中的取证、举证等重要环节</w:t>
            </w:r>
            <w:r>
              <w:rPr>
                <w:rFonts w:ascii="宋体" w:hAnsi="宋体" w:cs="宋体" w:hint="eastAsia"/>
                <w:color w:val="000000"/>
                <w:kern w:val="0"/>
                <w:sz w:val="20"/>
                <w:szCs w:val="20"/>
              </w:rPr>
              <w:lastRenderedPageBreak/>
              <w:t>提供一定可行性参考。</w:t>
            </w:r>
          </w:p>
        </w:tc>
      </w:tr>
      <w:tr w:rsidR="00AE0950">
        <w:trPr>
          <w:trHeight w:val="48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8</w:t>
            </w:r>
          </w:p>
        </w:tc>
        <w:tc>
          <w:tcPr>
            <w:tcW w:w="10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E0950" w:rsidRDefault="00AE0950">
            <w:pPr>
              <w:jc w:val="center"/>
              <w:rPr>
                <w:rFonts w:ascii="宋体" w:hAnsi="宋体" w:cs="宋体"/>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林银勇</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《商业秘密纠纷的“刑民交叉”问题以及企业维权策略》</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rPr>
                <w:rFonts w:ascii="宋体" w:hAnsi="宋体" w:cs="宋体"/>
                <w:color w:val="000000"/>
                <w:kern w:val="0"/>
                <w:sz w:val="20"/>
                <w:szCs w:val="20"/>
              </w:rPr>
            </w:pPr>
            <w:r>
              <w:rPr>
                <w:rFonts w:ascii="宋体" w:hAnsi="宋体" w:cs="宋体"/>
                <w:color w:val="000000"/>
                <w:kern w:val="0"/>
                <w:sz w:val="20"/>
                <w:szCs w:val="20"/>
              </w:rPr>
              <w:t>立足于商业秘密热点问题中的</w:t>
            </w:r>
            <w:r>
              <w:rPr>
                <w:rFonts w:ascii="宋体" w:hAnsi="宋体" w:cs="宋体" w:hint="eastAsia"/>
                <w:color w:val="000000"/>
                <w:kern w:val="0"/>
                <w:sz w:val="20"/>
                <w:szCs w:val="20"/>
              </w:rPr>
              <w:t>“刑民交叉”所产生的程序和实体问题，厘清商业秘密民事保护与刑事保护的区别与联系，为企业采取商业秘密高效合理的保护措施以及今后的维权活动提供指引。</w:t>
            </w:r>
          </w:p>
        </w:tc>
      </w:tr>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0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E0950" w:rsidRDefault="00AE0950">
            <w:pPr>
              <w:jc w:val="center"/>
              <w:rPr>
                <w:rFonts w:ascii="宋体" w:hAnsi="宋体" w:cs="宋体"/>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万骏</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《优化营商环境下的企业商业秘密刑事保护》</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rPr>
                <w:rFonts w:ascii="宋体" w:hAnsi="宋体" w:cs="宋体"/>
                <w:color w:val="000000"/>
                <w:kern w:val="0"/>
                <w:sz w:val="20"/>
                <w:szCs w:val="20"/>
              </w:rPr>
            </w:pPr>
            <w:r>
              <w:rPr>
                <w:rFonts w:ascii="宋体" w:hAnsi="宋体" w:cs="宋体" w:hint="eastAsia"/>
                <w:color w:val="000000"/>
                <w:kern w:val="0"/>
                <w:sz w:val="20"/>
                <w:szCs w:val="20"/>
              </w:rPr>
              <w:t>面对当前商业秘密案件中所存在的“定性难、取证难、立案难”的困境，总结梳理历年办理商业秘密案件的经验与收获，促进企业提高商业秘密保护意识，加强商业秘密的事前风险预防与事后控制。</w:t>
            </w:r>
          </w:p>
        </w:tc>
      </w:tr>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E0950" w:rsidRDefault="00AE0950">
            <w:pPr>
              <w:jc w:val="center"/>
              <w:rPr>
                <w:rFonts w:ascii="宋体" w:hAnsi="宋体" w:cs="宋体"/>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周卫林</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《浅谈企业商业秘密保护》</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基于当前企业普遍存在的对于商业秘密所采取保护措施的不健全、不完善情形，通过举例并分析近年市场监督管理局商业秘密案件的执法办案实践，加强企业与政府之间的部门合作，提升维权保护观念，共同推进创新创优企业的良性发展。</w:t>
            </w:r>
          </w:p>
        </w:tc>
      </w:tr>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0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E0950" w:rsidRDefault="00AE0950">
            <w:pPr>
              <w:jc w:val="center"/>
              <w:rPr>
                <w:rFonts w:ascii="宋体" w:hAnsi="宋体" w:cs="宋体"/>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庄华生</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《保护商业秘密，企业该如何作为》</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rPr>
                <w:rFonts w:ascii="宋体" w:hAnsi="宋体" w:cs="宋体"/>
                <w:color w:val="000000"/>
                <w:kern w:val="0"/>
                <w:sz w:val="20"/>
                <w:szCs w:val="20"/>
              </w:rPr>
            </w:pPr>
            <w:r>
              <w:rPr>
                <w:rFonts w:ascii="宋体" w:hAnsi="宋体" w:cs="宋体"/>
                <w:color w:val="000000"/>
                <w:kern w:val="0"/>
                <w:sz w:val="20"/>
                <w:szCs w:val="20"/>
              </w:rPr>
              <w:t>从企业的日常运营管理模式出发</w:t>
            </w:r>
            <w:r>
              <w:rPr>
                <w:rFonts w:ascii="宋体" w:hAnsi="宋体" w:cs="宋体" w:hint="eastAsia"/>
                <w:color w:val="000000"/>
                <w:kern w:val="0"/>
                <w:sz w:val="20"/>
                <w:szCs w:val="20"/>
              </w:rPr>
              <w:t>，一方面，为企业的商业秘密保护提出可操作性高的“未雨绸缪”的保密措施建议；另一方面，当企业面临侵权纠纷时为其提供诉讼中具体可行的“亡羊补牢”的举证参考，更好地保护企业最有价值的商业秘密。</w:t>
            </w:r>
          </w:p>
        </w:tc>
      </w:tr>
      <w:tr w:rsidR="00AE0950">
        <w:trPr>
          <w:trHeight w:val="48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司法检验鉴定机构</w:t>
            </w: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游涛</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《电子数据固定与商业秘密保护》</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rPr>
                <w:rFonts w:ascii="宋体" w:hAnsi="宋体" w:cs="宋体"/>
                <w:color w:val="000000"/>
                <w:kern w:val="0"/>
                <w:sz w:val="20"/>
                <w:szCs w:val="20"/>
              </w:rPr>
            </w:pPr>
            <w:r>
              <w:rPr>
                <w:rFonts w:ascii="宋体" w:hAnsi="宋体" w:cs="宋体"/>
                <w:color w:val="000000"/>
                <w:kern w:val="0"/>
                <w:sz w:val="20"/>
                <w:szCs w:val="20"/>
              </w:rPr>
              <w:t>结合实践中商业秘密案件的办理流程</w:t>
            </w:r>
            <w:r>
              <w:rPr>
                <w:rFonts w:ascii="宋体" w:hAnsi="宋体" w:cs="宋体" w:hint="eastAsia"/>
                <w:color w:val="000000"/>
                <w:kern w:val="0"/>
                <w:sz w:val="20"/>
                <w:szCs w:val="20"/>
              </w:rPr>
              <w:t>，</w:t>
            </w:r>
            <w:r>
              <w:rPr>
                <w:rFonts w:ascii="宋体" w:hAnsi="宋体" w:cs="宋体"/>
                <w:color w:val="000000"/>
                <w:kern w:val="0"/>
                <w:sz w:val="20"/>
                <w:szCs w:val="20"/>
              </w:rPr>
              <w:t>从我国制度体系中对电子数据的基本法律规定出发</w:t>
            </w:r>
            <w:r>
              <w:rPr>
                <w:rFonts w:ascii="宋体" w:hAnsi="宋体" w:cs="宋体" w:hint="eastAsia"/>
                <w:color w:val="000000"/>
                <w:kern w:val="0"/>
                <w:sz w:val="20"/>
                <w:szCs w:val="20"/>
              </w:rPr>
              <w:t>，</w:t>
            </w:r>
            <w:r>
              <w:rPr>
                <w:rFonts w:ascii="宋体" w:hAnsi="宋体" w:cs="宋体"/>
                <w:color w:val="000000"/>
                <w:kern w:val="0"/>
                <w:sz w:val="20"/>
                <w:szCs w:val="20"/>
              </w:rPr>
              <w:t>为企业在面对商业秘密侵权案件纠纷时</w:t>
            </w:r>
            <w:r>
              <w:rPr>
                <w:rFonts w:ascii="宋体" w:hAnsi="宋体" w:cs="宋体" w:hint="eastAsia"/>
                <w:color w:val="000000"/>
                <w:kern w:val="0"/>
                <w:sz w:val="20"/>
                <w:szCs w:val="20"/>
              </w:rPr>
              <w:t>，</w:t>
            </w:r>
            <w:r>
              <w:rPr>
                <w:rFonts w:ascii="宋体" w:hAnsi="宋体" w:cs="宋体"/>
                <w:color w:val="000000"/>
                <w:kern w:val="0"/>
                <w:sz w:val="20"/>
                <w:szCs w:val="20"/>
              </w:rPr>
              <w:t>更好地固定和运用电子数据证据提供制度上和经验上的依据和参考</w:t>
            </w:r>
            <w:r>
              <w:rPr>
                <w:rFonts w:ascii="宋体" w:hAnsi="宋体" w:cs="宋体" w:hint="eastAsia"/>
                <w:color w:val="000000"/>
                <w:kern w:val="0"/>
                <w:sz w:val="20"/>
                <w:szCs w:val="20"/>
              </w:rPr>
              <w:t>。</w:t>
            </w:r>
          </w:p>
        </w:tc>
      </w:tr>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0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服务机构</w:t>
            </w: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杨林洁</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《企业商业秘密保护机制的规划与执行要素》</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left"/>
              <w:textAlignment w:val="center"/>
              <w:rPr>
                <w:rFonts w:ascii="宋体" w:hAnsi="宋体" w:cs="宋体"/>
                <w:color w:val="000000"/>
                <w:kern w:val="0"/>
                <w:sz w:val="20"/>
                <w:szCs w:val="20"/>
              </w:rPr>
            </w:pPr>
            <w:r>
              <w:rPr>
                <w:rFonts w:hint="eastAsia"/>
              </w:rPr>
              <w:t>本课程分析了企业商业秘密管理现状及误区，并对商业秘密的保护机制进行了规划并指出了规划的执行要素，为企业了解自身商业秘密的保护水平与短板提供了参考。</w:t>
            </w:r>
          </w:p>
        </w:tc>
      </w:tr>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0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AE0950">
            <w:pPr>
              <w:jc w:val="center"/>
              <w:rPr>
                <w:rFonts w:ascii="宋体" w:hAnsi="宋体" w:cs="宋体"/>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范成骥</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《商业秘密制度建设措施的建议》</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left"/>
              <w:textAlignment w:val="center"/>
              <w:rPr>
                <w:rFonts w:ascii="宋体" w:hAnsi="宋体" w:cs="宋体"/>
                <w:color w:val="000000"/>
                <w:kern w:val="0"/>
                <w:sz w:val="20"/>
                <w:szCs w:val="20"/>
              </w:rPr>
            </w:pPr>
            <w:r>
              <w:rPr>
                <w:rFonts w:hint="eastAsia"/>
              </w:rPr>
              <w:t>本课程从商业秘密制度目标的建设、商业秘密的识别及制度设计等三方面进行了讲解，尤其侧重第三部分的制度设计，包括人事流程、供应商合作上下游、员工培训等各</w:t>
            </w:r>
            <w:r>
              <w:rPr>
                <w:rFonts w:hint="eastAsia"/>
              </w:rPr>
              <w:lastRenderedPageBreak/>
              <w:t>个方面，为学习者了解商业秘密的制度架构提供了参考。</w:t>
            </w:r>
          </w:p>
        </w:tc>
      </w:tr>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15</w:t>
            </w:r>
          </w:p>
        </w:tc>
        <w:tc>
          <w:tcPr>
            <w:tcW w:w="10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AE0950">
            <w:pPr>
              <w:jc w:val="center"/>
              <w:rPr>
                <w:rFonts w:ascii="宋体" w:hAnsi="宋体" w:cs="宋体"/>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陈瑞泷</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《商业秘密与专利保护的竞合关系》</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left"/>
              <w:textAlignment w:val="center"/>
              <w:rPr>
                <w:rFonts w:ascii="宋体" w:hAnsi="宋体" w:cs="宋体"/>
                <w:color w:val="000000"/>
                <w:kern w:val="0"/>
                <w:sz w:val="20"/>
                <w:szCs w:val="20"/>
              </w:rPr>
            </w:pPr>
            <w:r>
              <w:rPr>
                <w:rFonts w:hint="eastAsia"/>
              </w:rPr>
              <w:t>本课程介绍了专利与商业秘密的基本概念，并对企业如何选择商业秘密与专利进行保护提供了一定参考。</w:t>
            </w:r>
          </w:p>
        </w:tc>
      </w:tr>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0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AE0950">
            <w:pPr>
              <w:jc w:val="center"/>
              <w:rPr>
                <w:rFonts w:ascii="宋体" w:hAnsi="宋体" w:cs="宋体"/>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唐宁</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《企业商业秘密管理及风险应对》</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left"/>
              <w:textAlignment w:val="center"/>
              <w:rPr>
                <w:rFonts w:ascii="宋体" w:hAnsi="宋体" w:cs="宋体"/>
                <w:color w:val="000000"/>
                <w:kern w:val="0"/>
                <w:sz w:val="20"/>
                <w:szCs w:val="20"/>
              </w:rPr>
            </w:pPr>
            <w:r>
              <w:rPr>
                <w:rFonts w:hint="eastAsia"/>
              </w:rPr>
              <w:t>本课程重点梳理商业秘密的相关法律法规、总结商业秘密特征及相应的保护策略，对企业商业秘密涉诉的诉讼应对有所帮助。</w:t>
            </w:r>
          </w:p>
        </w:tc>
      </w:tr>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0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AE0950">
            <w:pPr>
              <w:jc w:val="center"/>
              <w:rPr>
                <w:rFonts w:ascii="宋体" w:hAnsi="宋体" w:cs="宋体"/>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蔡方方</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《侵犯商业秘密罪解读》</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rPr>
                <w:rFonts w:ascii="宋体" w:hAnsi="宋体" w:cs="宋体"/>
                <w:color w:val="000000"/>
                <w:kern w:val="0"/>
                <w:sz w:val="20"/>
                <w:szCs w:val="20"/>
              </w:rPr>
            </w:pPr>
            <w:r>
              <w:rPr>
                <w:rFonts w:hint="eastAsia"/>
              </w:rPr>
              <w:t>本课程重点梳理商业秘密罪的相关法律法规、总结侵犯商业秘密罪的特点及企业的应对措施，为企业应对商业秘密犯罪提供了一定参考。</w:t>
            </w:r>
          </w:p>
        </w:tc>
      </w:tr>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0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AE0950">
            <w:pPr>
              <w:jc w:val="center"/>
              <w:rPr>
                <w:rFonts w:ascii="宋体" w:hAnsi="宋体" w:cs="宋体"/>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石莹</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《企业如何构建合理的保密措施》</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left"/>
              <w:textAlignment w:val="center"/>
              <w:rPr>
                <w:rFonts w:ascii="宋体" w:hAnsi="宋体" w:cs="宋体"/>
                <w:color w:val="000000"/>
                <w:kern w:val="0"/>
                <w:sz w:val="20"/>
                <w:szCs w:val="20"/>
              </w:rPr>
            </w:pPr>
            <w:r>
              <w:rPr>
                <w:rFonts w:hint="eastAsia"/>
              </w:rPr>
              <w:t>本课程通过分析商业秘密构成要件、指出企业商业秘密保密措施的误区，为企业判断自身商业秘密的管理水平提供了一定参考。</w:t>
            </w:r>
          </w:p>
        </w:tc>
      </w:tr>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0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AE0950">
            <w:pPr>
              <w:jc w:val="center"/>
              <w:rPr>
                <w:rFonts w:ascii="宋体" w:hAnsi="宋体" w:cs="宋体"/>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杨晓东</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《企业商业秘密与专利的组合布局策略》</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left"/>
              <w:textAlignment w:val="center"/>
              <w:rPr>
                <w:rFonts w:ascii="宋体" w:hAnsi="宋体" w:cs="宋体"/>
                <w:color w:val="000000"/>
                <w:kern w:val="0"/>
                <w:sz w:val="20"/>
                <w:szCs w:val="20"/>
              </w:rPr>
            </w:pPr>
            <w:r>
              <w:rPr>
                <w:rFonts w:hint="eastAsia"/>
              </w:rPr>
              <w:t>本课程将专利与商业秘密进行对比，总结出二者的异同点及优缺点；并对高管离职的专利侵权案例进行了分析，最后运用专利与商业秘密的组合布局对涉及工艺流程的技术方案进行保护，对拟对商业秘密进行全方位保护的企业具有一定启示。</w:t>
            </w:r>
          </w:p>
        </w:tc>
      </w:tr>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0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AE0950">
            <w:pPr>
              <w:jc w:val="center"/>
              <w:rPr>
                <w:rFonts w:ascii="宋体" w:hAnsi="宋体" w:cs="宋体"/>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石伍军</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《企业商业秘密立体保护网络建设》</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left"/>
              <w:textAlignment w:val="center"/>
              <w:rPr>
                <w:rFonts w:ascii="宋体" w:hAnsi="宋体" w:cs="宋体"/>
                <w:color w:val="000000"/>
                <w:kern w:val="0"/>
                <w:sz w:val="20"/>
                <w:szCs w:val="20"/>
              </w:rPr>
            </w:pPr>
            <w:r>
              <w:rPr>
                <w:rFonts w:hint="eastAsia"/>
              </w:rPr>
              <w:t>本课程介绍商业秘密立体保护的误区、把关、落地与博弈四个方面，为企业对其商业秘密的防治结合管理提供了一定参考。</w:t>
            </w:r>
          </w:p>
        </w:tc>
      </w:tr>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0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研究院</w:t>
            </w: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孙鸣翼</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《企业大数据商业秘密属性及保护》</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rPr>
                <w:rFonts w:ascii="宋体" w:hAnsi="宋体" w:cs="宋体"/>
                <w:color w:val="000000"/>
                <w:kern w:val="0"/>
                <w:sz w:val="20"/>
                <w:szCs w:val="20"/>
              </w:rPr>
            </w:pPr>
            <w:r>
              <w:rPr>
                <w:rFonts w:ascii="宋体" w:hAnsi="宋体" w:cs="宋体" w:hint="eastAsia"/>
                <w:color w:val="000000"/>
                <w:kern w:val="0"/>
                <w:sz w:val="20"/>
                <w:szCs w:val="20"/>
              </w:rPr>
              <w:t>面对当前互联网数据的飞速发展，在大数据的商业价值日趋提升的环境下，通过对大数据的商业秘密进行分析，为企业更好的保护大数据型商业秘密带去更多思考和借鉴。</w:t>
            </w:r>
          </w:p>
        </w:tc>
      </w:tr>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0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AE0950">
            <w:pPr>
              <w:jc w:val="center"/>
              <w:rPr>
                <w:rFonts w:ascii="宋体" w:hAnsi="宋体" w:cs="宋体"/>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陈聪</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《商业秘密界定》</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rPr>
                <w:rFonts w:ascii="宋体" w:hAnsi="宋体" w:cs="宋体"/>
                <w:color w:val="000000"/>
                <w:kern w:val="0"/>
                <w:sz w:val="20"/>
                <w:szCs w:val="20"/>
              </w:rPr>
            </w:pPr>
            <w:r>
              <w:rPr>
                <w:rFonts w:hint="eastAsia"/>
              </w:rPr>
              <w:t>本课程分析了商业秘密的构成要件，梳理了相关法律法规，为企业判断何为商业秘密提供了参考。</w:t>
            </w:r>
          </w:p>
        </w:tc>
      </w:tr>
      <w:tr w:rsidR="00AE0950">
        <w:trPr>
          <w:trHeight w:val="270"/>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0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AE0950">
            <w:pPr>
              <w:jc w:val="center"/>
              <w:rPr>
                <w:rFonts w:ascii="宋体" w:hAnsi="宋体" w:cs="宋体"/>
                <w:color w:val="000000"/>
                <w:sz w:val="20"/>
                <w:szCs w:val="20"/>
              </w:rPr>
            </w:pPr>
          </w:p>
        </w:tc>
        <w:tc>
          <w:tcPr>
            <w:tcW w:w="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郝腾腾</w:t>
            </w:r>
          </w:p>
        </w:tc>
        <w:tc>
          <w:tcPr>
            <w:tcW w:w="3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《涉外商业秘密实务建议》</w:t>
            </w:r>
          </w:p>
        </w:tc>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1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0950" w:rsidRDefault="00063D2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分析中国企业大量涉案美国商业秘密案件原因及应对措施</w:t>
            </w:r>
          </w:p>
        </w:tc>
      </w:tr>
    </w:tbl>
    <w:p w:rsidR="00AE0950" w:rsidRDefault="00063D2A">
      <w:pPr>
        <w:jc w:val="center"/>
        <w:rPr>
          <w:rFonts w:ascii="黑体" w:eastAsia="黑体" w:hAnsi="黑体" w:cs="黑体"/>
          <w:b/>
          <w:bCs/>
          <w:sz w:val="36"/>
          <w:szCs w:val="36"/>
        </w:rPr>
      </w:pPr>
      <w:r>
        <w:rPr>
          <w:rFonts w:ascii="黑体" w:eastAsia="黑体" w:hAnsi="黑体" w:cs="黑体" w:hint="eastAsia"/>
          <w:sz w:val="36"/>
          <w:szCs w:val="36"/>
        </w:rPr>
        <w:br w:type="page"/>
      </w:r>
      <w:r>
        <w:rPr>
          <w:rFonts w:ascii="黑体" w:eastAsia="黑体" w:hAnsi="黑体" w:cs="黑体" w:hint="eastAsia"/>
          <w:sz w:val="36"/>
          <w:szCs w:val="36"/>
        </w:rPr>
        <w:lastRenderedPageBreak/>
        <w:t>三、</w:t>
      </w:r>
      <w:r>
        <w:rPr>
          <w:rFonts w:ascii="黑体" w:eastAsia="黑体" w:hAnsi="黑体" w:cs="黑体" w:hint="eastAsia"/>
          <w:b/>
          <w:bCs/>
          <w:sz w:val="36"/>
          <w:szCs w:val="36"/>
        </w:rPr>
        <w:t>课程网络登录指南</w:t>
      </w:r>
    </w:p>
    <w:p w:rsidR="00AE0950" w:rsidRDefault="00063D2A">
      <w:pPr>
        <w:spacing w:line="520" w:lineRule="exact"/>
        <w:ind w:firstLineChars="200" w:firstLine="480"/>
        <w:rPr>
          <w:rFonts w:ascii="宋体" w:hAnsi="宋体" w:cs="宋体"/>
          <w:color w:val="000000"/>
          <w:sz w:val="24"/>
        </w:rPr>
      </w:pPr>
      <w:r>
        <w:rPr>
          <w:rFonts w:ascii="宋体" w:hAnsi="宋体" w:cs="宋体" w:hint="eastAsia"/>
          <w:color w:val="000000"/>
          <w:sz w:val="24"/>
        </w:rPr>
        <w:t>商业秘密板块需使用企业账号登录。企业账号通过企业注册获得，企业登录后进行企业员工账号的注册，每家企业可免费注册两位学员。后期学员的自主学习需使用学员个人账号，企业账号仅作为企业管理中对员工的课程进度跟踪、汇总使用（IP学院承诺对于注册所提供信息，我们将严格保密、绝不外泄，非常感谢您的积极配合！）。</w:t>
      </w:r>
    </w:p>
    <w:p w:rsidR="00AE0950" w:rsidRDefault="00063D2A">
      <w:pPr>
        <w:spacing w:line="360" w:lineRule="auto"/>
        <w:rPr>
          <w:rFonts w:ascii="宋体" w:hAnsi="宋体" w:cs="宋体"/>
          <w:sz w:val="24"/>
        </w:rPr>
      </w:pPr>
      <w:r>
        <w:rPr>
          <w:rFonts w:ascii="宋体" w:hAnsi="宋体" w:cs="宋体" w:hint="eastAsia"/>
          <w:sz w:val="24"/>
        </w:rPr>
        <w:t>网址</w:t>
      </w:r>
      <w:r>
        <w:rPr>
          <w:rFonts w:hint="eastAsia"/>
          <w:sz w:val="24"/>
        </w:rPr>
        <w:t>：</w:t>
      </w:r>
      <w:hyperlink r:id="rId7" w:history="1">
        <w:r>
          <w:rPr>
            <w:rStyle w:val="a7"/>
            <w:rFonts w:ascii="宋体" w:hAnsi="宋体" w:cs="宋体"/>
            <w:sz w:val="24"/>
          </w:rPr>
          <w:t>http://</w:t>
        </w:r>
        <w:r>
          <w:rPr>
            <w:rStyle w:val="a7"/>
            <w:rFonts w:ascii="宋体" w:hAnsi="宋体" w:cs="宋体" w:hint="eastAsia"/>
            <w:sz w:val="24"/>
          </w:rPr>
          <w:t>www</w:t>
        </w:r>
        <w:r>
          <w:rPr>
            <w:rStyle w:val="a7"/>
            <w:rFonts w:ascii="宋体" w:hAnsi="宋体" w:cs="宋体"/>
            <w:sz w:val="24"/>
          </w:rPr>
          <w:t>.sudazscq.com/course/index.aspx</w:t>
        </w:r>
      </w:hyperlink>
    </w:p>
    <w:p w:rsidR="00AE0950" w:rsidRDefault="00063D2A">
      <w:pPr>
        <w:rPr>
          <w:rFonts w:ascii="宋体" w:hAnsi="宋体" w:cs="宋体"/>
          <w:sz w:val="24"/>
        </w:rPr>
      </w:pPr>
      <w:r>
        <w:rPr>
          <w:rFonts w:ascii="宋体" w:hAnsi="宋体" w:cs="宋体"/>
          <w:noProof/>
          <w:sz w:val="24"/>
        </w:rPr>
        <w:drawing>
          <wp:inline distT="0" distB="0" distL="114300" distR="114300">
            <wp:extent cx="5260340" cy="386715"/>
            <wp:effectExtent l="0" t="0" r="16510" b="13335"/>
            <wp:docPr id="8" name="图片 118" descr="15891597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8" descr="1589159748(1)"/>
                    <pic:cNvPicPr>
                      <a:picLocks noChangeAspect="1"/>
                    </pic:cNvPicPr>
                  </pic:nvPicPr>
                  <pic:blipFill>
                    <a:blip r:embed="rId8" cstate="print"/>
                    <a:stretch>
                      <a:fillRect/>
                    </a:stretch>
                  </pic:blipFill>
                  <pic:spPr>
                    <a:xfrm>
                      <a:off x="0" y="0"/>
                      <a:ext cx="5260340" cy="386715"/>
                    </a:xfrm>
                    <a:prstGeom prst="rect">
                      <a:avLst/>
                    </a:prstGeom>
                    <a:noFill/>
                    <a:ln>
                      <a:noFill/>
                    </a:ln>
                  </pic:spPr>
                </pic:pic>
              </a:graphicData>
            </a:graphic>
          </wp:inline>
        </w:drawing>
      </w:r>
    </w:p>
    <w:p w:rsidR="00AE0950" w:rsidRDefault="00AE0950">
      <w:pPr>
        <w:rPr>
          <w:rFonts w:ascii="宋体" w:hAnsi="宋体" w:cs="宋体"/>
          <w:color w:val="C00000"/>
          <w:sz w:val="24"/>
        </w:rPr>
      </w:pPr>
    </w:p>
    <w:p w:rsidR="00AE0950" w:rsidRDefault="00063D2A">
      <w:pPr>
        <w:pStyle w:val="a9"/>
        <w:spacing w:line="360" w:lineRule="auto"/>
        <w:ind w:firstLineChars="0" w:firstLine="0"/>
        <w:jc w:val="left"/>
        <w:rPr>
          <w:rFonts w:ascii="宋体" w:hAnsi="宋体" w:cs="宋体"/>
          <w:b/>
          <w:bCs/>
          <w:sz w:val="24"/>
        </w:rPr>
      </w:pPr>
      <w:r>
        <w:rPr>
          <w:rFonts w:ascii="宋体" w:hAnsi="宋体" w:cs="宋体" w:hint="eastAsia"/>
          <w:b/>
          <w:bCs/>
          <w:noProof/>
          <w:sz w:val="24"/>
        </w:rPr>
        <w:drawing>
          <wp:inline distT="0" distB="0" distL="114300" distR="114300">
            <wp:extent cx="5400040" cy="3636010"/>
            <wp:effectExtent l="0" t="0" r="0" b="0"/>
            <wp:docPr id="6" name="图片 47" descr="商密流程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7" descr="商密流程图2"/>
                    <pic:cNvPicPr>
                      <a:picLocks noChangeAspect="1"/>
                    </pic:cNvPicPr>
                  </pic:nvPicPr>
                  <pic:blipFill>
                    <a:blip r:embed="rId9"/>
                    <a:stretch>
                      <a:fillRect/>
                    </a:stretch>
                  </pic:blipFill>
                  <pic:spPr>
                    <a:xfrm>
                      <a:off x="0" y="0"/>
                      <a:ext cx="5400040" cy="3636010"/>
                    </a:xfrm>
                    <a:prstGeom prst="rect">
                      <a:avLst/>
                    </a:prstGeom>
                    <a:noFill/>
                    <a:ln>
                      <a:noFill/>
                    </a:ln>
                  </pic:spPr>
                </pic:pic>
              </a:graphicData>
            </a:graphic>
          </wp:inline>
        </w:drawing>
      </w:r>
    </w:p>
    <w:p w:rsidR="00AE0950" w:rsidRDefault="00063D2A" w:rsidP="00D76CAA">
      <w:pPr>
        <w:ind w:firstLineChars="200" w:firstLine="480"/>
        <w:rPr>
          <w:rFonts w:ascii="宋体" w:hAnsi="宋体" w:cs="宋体" w:hint="eastAsia"/>
          <w:color w:val="000000"/>
          <w:sz w:val="24"/>
        </w:rPr>
      </w:pPr>
      <w:r>
        <w:rPr>
          <w:rFonts w:ascii="宋体" w:hAnsi="宋体" w:cs="宋体" w:hint="eastAsia"/>
          <w:color w:val="000000"/>
          <w:sz w:val="24"/>
        </w:rPr>
        <w:t>详细注册流程可参考（</w:t>
      </w:r>
      <w:hyperlink r:id="rId10" w:history="1">
        <w:r>
          <w:rPr>
            <w:rStyle w:val="a7"/>
            <w:rFonts w:ascii="宋体" w:hAnsi="宋体" w:cs="宋体"/>
            <w:sz w:val="24"/>
          </w:rPr>
          <w:t>http://</w:t>
        </w:r>
        <w:r>
          <w:rPr>
            <w:rStyle w:val="a7"/>
            <w:rFonts w:ascii="宋体" w:hAnsi="宋体" w:cs="宋体" w:hint="eastAsia"/>
            <w:sz w:val="24"/>
          </w:rPr>
          <w:t>www</w:t>
        </w:r>
        <w:r>
          <w:rPr>
            <w:rStyle w:val="a7"/>
            <w:rFonts w:ascii="宋体" w:hAnsi="宋体" w:cs="宋体"/>
            <w:sz w:val="24"/>
          </w:rPr>
          <w:t>.sudazscq.com/course/index.aspx</w:t>
        </w:r>
      </w:hyperlink>
      <w:r>
        <w:rPr>
          <w:rFonts w:ascii="宋体" w:hAnsi="宋体" w:cs="宋体" w:hint="eastAsia"/>
          <w:color w:val="000000"/>
          <w:sz w:val="24"/>
        </w:rPr>
        <w:t>）商业秘密课程板块——注册流程视频介绍</w:t>
      </w:r>
    </w:p>
    <w:p w:rsidR="004B146D" w:rsidRDefault="004B146D" w:rsidP="00D76CAA">
      <w:pPr>
        <w:ind w:firstLineChars="200" w:firstLine="480"/>
        <w:rPr>
          <w:rFonts w:ascii="宋体" w:hAnsi="宋体" w:cs="宋体" w:hint="eastAsia"/>
          <w:color w:val="000000"/>
          <w:sz w:val="24"/>
        </w:rPr>
      </w:pPr>
    </w:p>
    <w:p w:rsidR="004B146D" w:rsidRDefault="004B146D" w:rsidP="00D76CAA">
      <w:pPr>
        <w:ind w:firstLineChars="200" w:firstLine="480"/>
        <w:rPr>
          <w:rFonts w:ascii="宋体" w:hAnsi="宋体" w:cs="宋体" w:hint="eastAsia"/>
          <w:color w:val="000000"/>
          <w:sz w:val="24"/>
        </w:rPr>
      </w:pPr>
    </w:p>
    <w:p w:rsidR="004B146D" w:rsidRDefault="004B146D" w:rsidP="00D76CAA">
      <w:pPr>
        <w:ind w:firstLineChars="200" w:firstLine="480"/>
        <w:rPr>
          <w:rFonts w:ascii="宋体" w:hAnsi="宋体" w:cs="宋体" w:hint="eastAsia"/>
          <w:color w:val="000000"/>
          <w:sz w:val="24"/>
        </w:rPr>
      </w:pPr>
    </w:p>
    <w:p w:rsidR="004B146D" w:rsidRDefault="004B146D" w:rsidP="00D76CAA">
      <w:pPr>
        <w:ind w:firstLineChars="200" w:firstLine="480"/>
        <w:rPr>
          <w:rFonts w:ascii="宋体" w:hAnsi="宋体" w:cs="宋体" w:hint="eastAsia"/>
          <w:color w:val="000000"/>
          <w:sz w:val="24"/>
        </w:rPr>
      </w:pPr>
    </w:p>
    <w:p w:rsidR="004B146D" w:rsidRDefault="004B146D" w:rsidP="00D76CAA">
      <w:pPr>
        <w:ind w:firstLineChars="200" w:firstLine="480"/>
        <w:rPr>
          <w:rFonts w:ascii="宋体" w:hAnsi="宋体" w:cs="宋体" w:hint="eastAsia"/>
          <w:color w:val="000000"/>
          <w:sz w:val="24"/>
        </w:rPr>
      </w:pPr>
    </w:p>
    <w:p w:rsidR="004B146D" w:rsidRDefault="004B146D" w:rsidP="00D76CAA">
      <w:pPr>
        <w:ind w:firstLineChars="200" w:firstLine="480"/>
        <w:rPr>
          <w:rFonts w:ascii="宋体" w:hAnsi="宋体" w:cs="宋体" w:hint="eastAsia"/>
          <w:color w:val="000000"/>
          <w:sz w:val="24"/>
        </w:rPr>
      </w:pPr>
    </w:p>
    <w:p w:rsidR="004B146D" w:rsidRDefault="004B146D" w:rsidP="00D76CAA">
      <w:pPr>
        <w:ind w:firstLineChars="200" w:firstLine="480"/>
        <w:rPr>
          <w:rFonts w:ascii="宋体" w:hAnsi="宋体" w:cs="宋体" w:hint="eastAsia"/>
          <w:color w:val="000000"/>
          <w:sz w:val="24"/>
        </w:rPr>
      </w:pPr>
    </w:p>
    <w:p w:rsidR="004B146D" w:rsidRDefault="004B146D" w:rsidP="004B146D">
      <w:pPr>
        <w:jc w:val="center"/>
        <w:rPr>
          <w:rFonts w:ascii="黑体" w:eastAsia="黑体" w:hAnsi="黑体" w:cs="黑体"/>
          <w:b/>
          <w:bCs/>
          <w:sz w:val="36"/>
          <w:szCs w:val="36"/>
        </w:rPr>
      </w:pPr>
      <w:r>
        <w:rPr>
          <w:rFonts w:ascii="黑体" w:eastAsia="黑体" w:hAnsi="黑体" w:cs="黑体" w:hint="eastAsia"/>
          <w:b/>
          <w:bCs/>
          <w:sz w:val="36"/>
          <w:szCs w:val="36"/>
        </w:rPr>
        <w:lastRenderedPageBreak/>
        <w:t>苏州大学苏州知识产权研究院简介</w:t>
      </w:r>
    </w:p>
    <w:p w:rsidR="004B146D" w:rsidRDefault="004B146D" w:rsidP="004B146D">
      <w:pPr>
        <w:spacing w:line="520" w:lineRule="exact"/>
        <w:ind w:firstLineChars="200" w:firstLine="480"/>
        <w:rPr>
          <w:rFonts w:ascii="宋体" w:hAnsi="宋体"/>
          <w:sz w:val="24"/>
        </w:rPr>
      </w:pPr>
    </w:p>
    <w:p w:rsidR="004B146D" w:rsidRDefault="004B146D" w:rsidP="004B146D">
      <w:pPr>
        <w:spacing w:line="520" w:lineRule="exact"/>
        <w:ind w:firstLineChars="200" w:firstLine="480"/>
        <w:rPr>
          <w:rFonts w:ascii="宋体" w:hAnsi="宋体"/>
          <w:sz w:val="24"/>
        </w:rPr>
      </w:pPr>
      <w:r>
        <w:rPr>
          <w:rFonts w:ascii="宋体" w:hAnsi="宋体"/>
          <w:sz w:val="24"/>
        </w:rPr>
        <w:t>苏州大学苏州知识产权研究院成立于2014年2月，是由苏州大学、苏州市知识产权局和苏州高新区政府联合共建的产学研平台。成立至今，研究院坚持聚焦“政府智库”和“行业纽带”两大核心职能定位，坚守初心，锐意进取，敢为人先，已经成长为江苏省具有领先优势的知识产权综合服务基地，并在理论研究、人才培养、法律维权、教育培训、企业实务、行业共建、社会服务等方面积累了</w:t>
      </w:r>
      <w:r>
        <w:rPr>
          <w:rFonts w:ascii="宋体" w:hAnsi="宋体" w:hint="eastAsia"/>
          <w:sz w:val="24"/>
        </w:rPr>
        <w:t>较为</w:t>
      </w:r>
      <w:r>
        <w:rPr>
          <w:rFonts w:ascii="宋体" w:hAnsi="宋体"/>
          <w:sz w:val="24"/>
        </w:rPr>
        <w:t>丰富</w:t>
      </w:r>
      <w:r>
        <w:rPr>
          <w:rFonts w:ascii="宋体" w:hAnsi="宋体" w:hint="eastAsia"/>
          <w:sz w:val="24"/>
        </w:rPr>
        <w:t>的</w:t>
      </w:r>
      <w:r>
        <w:rPr>
          <w:rFonts w:ascii="宋体" w:hAnsi="宋体"/>
          <w:sz w:val="24"/>
        </w:rPr>
        <w:t>经验。</w:t>
      </w:r>
    </w:p>
    <w:p w:rsidR="004B146D" w:rsidRDefault="004B146D" w:rsidP="004B146D">
      <w:pPr>
        <w:spacing w:line="520" w:lineRule="exact"/>
        <w:ind w:firstLineChars="200" w:firstLine="482"/>
        <w:rPr>
          <w:rFonts w:ascii="宋体" w:hAnsi="宋体"/>
          <w:b/>
          <w:bCs/>
          <w:sz w:val="24"/>
        </w:rPr>
      </w:pPr>
      <w:r>
        <w:rPr>
          <w:rFonts w:ascii="宋体" w:hAnsi="宋体"/>
          <w:b/>
          <w:bCs/>
          <w:sz w:val="24"/>
        </w:rPr>
        <w:t>平台建设和获奖荣誉</w:t>
      </w:r>
      <w:r>
        <w:rPr>
          <w:rFonts w:ascii="宋体" w:hAnsi="宋体" w:hint="eastAsia"/>
          <w:b/>
          <w:bCs/>
          <w:sz w:val="24"/>
        </w:rPr>
        <w:t>（部分）：</w:t>
      </w:r>
    </w:p>
    <w:p w:rsidR="004B146D" w:rsidRDefault="004B146D" w:rsidP="004B146D">
      <w:pPr>
        <w:spacing w:line="520" w:lineRule="exact"/>
        <w:ind w:firstLineChars="200" w:firstLine="480"/>
        <w:rPr>
          <w:rFonts w:ascii="宋体" w:hAnsi="宋体"/>
          <w:sz w:val="24"/>
        </w:rPr>
      </w:pPr>
      <w:r>
        <w:rPr>
          <w:rFonts w:ascii="宋体" w:hAnsi="宋体" w:hint="eastAsia"/>
          <w:sz w:val="24"/>
        </w:rPr>
        <w:t>2016年5月，研究院负责</w:t>
      </w:r>
      <w:r>
        <w:rPr>
          <w:rFonts w:ascii="宋体" w:hAnsi="宋体" w:hint="eastAsia"/>
          <w:b/>
          <w:bCs/>
          <w:sz w:val="24"/>
        </w:rPr>
        <w:t>苏州专利代理师全国考点</w:t>
      </w:r>
      <w:r>
        <w:rPr>
          <w:rFonts w:ascii="宋体" w:hAnsi="宋体" w:hint="eastAsia"/>
          <w:sz w:val="24"/>
        </w:rPr>
        <w:t>组织管理工作，2016年，苏州考点通过率</w:t>
      </w:r>
      <w:r>
        <w:rPr>
          <w:rFonts w:ascii="宋体" w:hAnsi="宋体" w:hint="eastAsia"/>
          <w:b/>
          <w:bCs/>
          <w:sz w:val="24"/>
        </w:rPr>
        <w:t>全国第一</w:t>
      </w:r>
      <w:r>
        <w:rPr>
          <w:rFonts w:ascii="宋体" w:hAnsi="宋体" w:hint="eastAsia"/>
          <w:sz w:val="24"/>
        </w:rPr>
        <w:t>！</w:t>
      </w:r>
    </w:p>
    <w:p w:rsidR="004B146D" w:rsidRDefault="004B146D" w:rsidP="004B146D">
      <w:pPr>
        <w:spacing w:line="520" w:lineRule="exact"/>
        <w:ind w:firstLineChars="200" w:firstLine="480"/>
        <w:rPr>
          <w:rFonts w:ascii="宋体" w:hAnsi="宋体"/>
          <w:sz w:val="24"/>
        </w:rPr>
      </w:pPr>
      <w:r>
        <w:rPr>
          <w:rFonts w:ascii="宋体" w:hAnsi="宋体" w:hint="eastAsia"/>
          <w:sz w:val="24"/>
        </w:rPr>
        <w:t>2017年4月，研究院正式获批</w:t>
      </w:r>
      <w:r>
        <w:rPr>
          <w:rFonts w:ascii="宋体" w:hAnsi="宋体" w:hint="eastAsia"/>
          <w:b/>
          <w:bCs/>
          <w:sz w:val="24"/>
        </w:rPr>
        <w:t>江苏省版权培训基地</w:t>
      </w:r>
      <w:r>
        <w:rPr>
          <w:rFonts w:ascii="宋体" w:hAnsi="宋体" w:hint="eastAsia"/>
          <w:sz w:val="24"/>
        </w:rPr>
        <w:t>；</w:t>
      </w:r>
    </w:p>
    <w:p w:rsidR="004B146D" w:rsidRDefault="004B146D" w:rsidP="004B146D">
      <w:pPr>
        <w:spacing w:line="520" w:lineRule="exact"/>
        <w:ind w:firstLineChars="200" w:firstLine="480"/>
        <w:rPr>
          <w:rFonts w:ascii="宋体" w:hAnsi="宋体"/>
          <w:sz w:val="24"/>
        </w:rPr>
      </w:pPr>
      <w:r>
        <w:rPr>
          <w:rFonts w:ascii="宋体" w:hAnsi="宋体" w:hint="eastAsia"/>
          <w:sz w:val="24"/>
        </w:rPr>
        <w:t>2018年3月，江苏省知识产权局和江苏省教育厅共同签发文件，将我院提档升级为：</w:t>
      </w:r>
      <w:r>
        <w:rPr>
          <w:rFonts w:ascii="宋体" w:hAnsi="宋体" w:hint="eastAsia"/>
          <w:b/>
          <w:bCs/>
          <w:sz w:val="24"/>
        </w:rPr>
        <w:t>江苏省知识产权（苏州大学）研究院</w:t>
      </w:r>
      <w:r>
        <w:rPr>
          <w:rFonts w:ascii="宋体" w:hAnsi="宋体" w:hint="eastAsia"/>
          <w:sz w:val="24"/>
        </w:rPr>
        <w:t>；</w:t>
      </w:r>
    </w:p>
    <w:p w:rsidR="004B146D" w:rsidRDefault="004B146D" w:rsidP="004B146D">
      <w:pPr>
        <w:spacing w:line="520" w:lineRule="exact"/>
        <w:ind w:firstLineChars="200" w:firstLine="480"/>
        <w:rPr>
          <w:rFonts w:ascii="宋体" w:hAnsi="宋体"/>
          <w:sz w:val="24"/>
        </w:rPr>
      </w:pPr>
      <w:r>
        <w:rPr>
          <w:rFonts w:ascii="宋体" w:hAnsi="宋体" w:hint="eastAsia"/>
          <w:sz w:val="24"/>
        </w:rPr>
        <w:t>2018年10月，中宣部国家版权局授予我院“</w:t>
      </w:r>
      <w:r>
        <w:rPr>
          <w:rFonts w:ascii="宋体" w:hAnsi="宋体" w:hint="eastAsia"/>
          <w:b/>
          <w:bCs/>
          <w:sz w:val="24"/>
        </w:rPr>
        <w:t>国际版权人才培训基地</w:t>
      </w:r>
      <w:r>
        <w:rPr>
          <w:rFonts w:ascii="宋体" w:hAnsi="宋体" w:hint="eastAsia"/>
          <w:sz w:val="24"/>
        </w:rPr>
        <w:t>”，负责培养我国版权国际管理、运营和保护人才；</w:t>
      </w:r>
    </w:p>
    <w:p w:rsidR="004B146D" w:rsidRDefault="004B146D" w:rsidP="004B146D">
      <w:pPr>
        <w:spacing w:line="520" w:lineRule="exact"/>
        <w:ind w:firstLineChars="200" w:firstLine="480"/>
        <w:rPr>
          <w:rFonts w:ascii="宋体" w:hAnsi="宋体"/>
          <w:sz w:val="24"/>
        </w:rPr>
      </w:pPr>
      <w:r>
        <w:rPr>
          <w:rFonts w:ascii="宋体" w:hAnsi="宋体" w:hint="eastAsia"/>
          <w:sz w:val="24"/>
        </w:rPr>
        <w:t>2019年7月，国家知识产权局批准苏州为全国第一批19个</w:t>
      </w:r>
      <w:r>
        <w:rPr>
          <w:rFonts w:ascii="宋体" w:hAnsi="宋体" w:hint="eastAsia"/>
          <w:b/>
          <w:bCs/>
          <w:sz w:val="24"/>
        </w:rPr>
        <w:t>知识产权侵权检验鉴定中心</w:t>
      </w:r>
      <w:r>
        <w:rPr>
          <w:rFonts w:ascii="宋体" w:hAnsi="宋体" w:hint="eastAsia"/>
          <w:sz w:val="24"/>
        </w:rPr>
        <w:t>试点城市，研究院被苏州市指定为侵权检验鉴定工作唯一实施单位；</w:t>
      </w:r>
    </w:p>
    <w:p w:rsidR="004B146D" w:rsidRDefault="004B146D" w:rsidP="004B146D">
      <w:pPr>
        <w:spacing w:line="520" w:lineRule="exact"/>
        <w:ind w:firstLineChars="200" w:firstLine="480"/>
        <w:rPr>
          <w:rFonts w:ascii="宋体" w:hAnsi="宋体"/>
          <w:sz w:val="24"/>
        </w:rPr>
      </w:pPr>
      <w:r>
        <w:rPr>
          <w:rFonts w:ascii="宋体" w:hAnsi="宋体" w:hint="eastAsia"/>
          <w:sz w:val="24"/>
        </w:rPr>
        <w:t>2020年5月，苏州市成立</w:t>
      </w:r>
      <w:r>
        <w:rPr>
          <w:rFonts w:ascii="宋体" w:hAnsi="宋体" w:hint="eastAsia"/>
          <w:b/>
          <w:bCs/>
          <w:sz w:val="24"/>
        </w:rPr>
        <w:t>全国首个上市企业知识产权服务中心</w:t>
      </w:r>
      <w:r>
        <w:rPr>
          <w:rFonts w:ascii="宋体" w:hAnsi="宋体" w:hint="eastAsia"/>
          <w:sz w:val="24"/>
        </w:rPr>
        <w:t>，服务中心组织运营管理工作由我院全面负责；</w:t>
      </w:r>
    </w:p>
    <w:p w:rsidR="004B146D" w:rsidRPr="004B146D" w:rsidRDefault="004B146D" w:rsidP="004B146D">
      <w:pPr>
        <w:spacing w:line="520" w:lineRule="exact"/>
        <w:ind w:firstLineChars="200" w:firstLine="480"/>
        <w:rPr>
          <w:rFonts w:ascii="宋体" w:hAnsi="宋体"/>
          <w:sz w:val="24"/>
        </w:rPr>
      </w:pPr>
      <w:r>
        <w:rPr>
          <w:rFonts w:ascii="宋体" w:hAnsi="宋体" w:hint="eastAsia"/>
          <w:sz w:val="24"/>
        </w:rPr>
        <w:t>2020年12月，苏州市市场监督管理局授予我院</w:t>
      </w:r>
      <w:r>
        <w:rPr>
          <w:rFonts w:ascii="宋体" w:hAnsi="宋体" w:hint="eastAsia"/>
          <w:b/>
          <w:bCs/>
          <w:sz w:val="24"/>
        </w:rPr>
        <w:t>“苏州市商业秘密保护服务中心”。</w:t>
      </w:r>
    </w:p>
    <w:sectPr w:rsidR="004B146D" w:rsidRPr="004B146D" w:rsidSect="00AE0950">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910" w:rsidRDefault="004A5910" w:rsidP="00AE0950">
      <w:pPr>
        <w:ind w:left="630"/>
      </w:pPr>
      <w:r>
        <w:separator/>
      </w:r>
    </w:p>
  </w:endnote>
  <w:endnote w:type="continuationSeparator" w:id="1">
    <w:p w:rsidR="004A5910" w:rsidRDefault="004A5910" w:rsidP="00AE0950">
      <w:pPr>
        <w:ind w:left="63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50" w:rsidRDefault="00DB5796">
    <w:pPr>
      <w:pStyle w:val="a4"/>
      <w:jc w:val="center"/>
    </w:pPr>
    <w:r>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Masdw/XAQAAswMAAA4AAAAAAAAAAQAgAAAA&#10;HgEAAGRycy9lMm9Eb2MueG1sUEsFBgAAAAAGAAYAWQEAAGcFAAAAAA==&#10;" filled="f" stroked="f">
          <v:textbox style="mso-fit-shape-to-text:t" inset="0,0,0,0">
            <w:txbxContent>
              <w:p w:rsidR="00AE0950" w:rsidRDefault="00DB5796">
                <w:pPr>
                  <w:pStyle w:val="a4"/>
                  <w:jc w:val="center"/>
                </w:pPr>
                <w:r>
                  <w:rPr>
                    <w:rFonts w:ascii="Times New Roman" w:hAnsi="Times New Roman"/>
                  </w:rPr>
                  <w:fldChar w:fldCharType="begin"/>
                </w:r>
                <w:r w:rsidR="00063D2A">
                  <w:rPr>
                    <w:rFonts w:ascii="Times New Roman" w:hAnsi="Times New Roman"/>
                  </w:rPr>
                  <w:instrText xml:space="preserve"> PAGE   \* MERGEFORMAT </w:instrText>
                </w:r>
                <w:r>
                  <w:rPr>
                    <w:rFonts w:ascii="Times New Roman" w:hAnsi="Times New Roman"/>
                  </w:rPr>
                  <w:fldChar w:fldCharType="separate"/>
                </w:r>
                <w:r w:rsidR="004B146D" w:rsidRPr="004B146D">
                  <w:rPr>
                    <w:rFonts w:ascii="Times New Roman" w:hAnsi="Times New Roman"/>
                    <w:noProof/>
                    <w:lang w:val="zh-CN"/>
                  </w:rPr>
                  <w:t>5</w:t>
                </w:r>
                <w:r>
                  <w:rPr>
                    <w:rFonts w:ascii="Times New Roman" w:hAnsi="Times New Roma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910" w:rsidRDefault="004A5910" w:rsidP="00AE0950">
      <w:pPr>
        <w:ind w:left="630"/>
      </w:pPr>
      <w:r>
        <w:separator/>
      </w:r>
    </w:p>
  </w:footnote>
  <w:footnote w:type="continuationSeparator" w:id="1">
    <w:p w:rsidR="004A5910" w:rsidRDefault="004A5910" w:rsidP="00AE0950">
      <w:pPr>
        <w:ind w:left="63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5A01"/>
    <w:rsid w:val="00063D2A"/>
    <w:rsid w:val="002E2EE2"/>
    <w:rsid w:val="004A5910"/>
    <w:rsid w:val="004B146D"/>
    <w:rsid w:val="00A25A01"/>
    <w:rsid w:val="00AE0950"/>
    <w:rsid w:val="00C7611C"/>
    <w:rsid w:val="00D76CAA"/>
    <w:rsid w:val="00DB5796"/>
    <w:rsid w:val="01BB2875"/>
    <w:rsid w:val="02997305"/>
    <w:rsid w:val="02D35D43"/>
    <w:rsid w:val="03C864F1"/>
    <w:rsid w:val="03EA0902"/>
    <w:rsid w:val="0624070F"/>
    <w:rsid w:val="06E1623D"/>
    <w:rsid w:val="086E7F03"/>
    <w:rsid w:val="08872438"/>
    <w:rsid w:val="09224C9A"/>
    <w:rsid w:val="09394FDA"/>
    <w:rsid w:val="0998750E"/>
    <w:rsid w:val="0A6B3CBD"/>
    <w:rsid w:val="0AD25A49"/>
    <w:rsid w:val="0AF05440"/>
    <w:rsid w:val="0BE9064B"/>
    <w:rsid w:val="0BF23F08"/>
    <w:rsid w:val="0E44109F"/>
    <w:rsid w:val="0EBD2465"/>
    <w:rsid w:val="0FEE77FF"/>
    <w:rsid w:val="10553975"/>
    <w:rsid w:val="10A409F9"/>
    <w:rsid w:val="113C1D01"/>
    <w:rsid w:val="116D4230"/>
    <w:rsid w:val="121A4040"/>
    <w:rsid w:val="13001A6D"/>
    <w:rsid w:val="13EC29FF"/>
    <w:rsid w:val="1461058D"/>
    <w:rsid w:val="16C77F7F"/>
    <w:rsid w:val="16E57878"/>
    <w:rsid w:val="178A3B59"/>
    <w:rsid w:val="18382551"/>
    <w:rsid w:val="18566D17"/>
    <w:rsid w:val="19785A4D"/>
    <w:rsid w:val="19CA76C1"/>
    <w:rsid w:val="1C246C0E"/>
    <w:rsid w:val="1C704AC8"/>
    <w:rsid w:val="1CA07914"/>
    <w:rsid w:val="1CAF0BA7"/>
    <w:rsid w:val="1D023E81"/>
    <w:rsid w:val="1D167F14"/>
    <w:rsid w:val="1F020071"/>
    <w:rsid w:val="1F485D36"/>
    <w:rsid w:val="20521731"/>
    <w:rsid w:val="2088622C"/>
    <w:rsid w:val="209E2A39"/>
    <w:rsid w:val="22192ACF"/>
    <w:rsid w:val="234213B5"/>
    <w:rsid w:val="241750B5"/>
    <w:rsid w:val="24460BDB"/>
    <w:rsid w:val="24771F04"/>
    <w:rsid w:val="24825B45"/>
    <w:rsid w:val="26B6581B"/>
    <w:rsid w:val="278D52A4"/>
    <w:rsid w:val="27937E0E"/>
    <w:rsid w:val="28985F79"/>
    <w:rsid w:val="29B05026"/>
    <w:rsid w:val="2A1740CA"/>
    <w:rsid w:val="2A65164D"/>
    <w:rsid w:val="2B0B1A0E"/>
    <w:rsid w:val="2B190871"/>
    <w:rsid w:val="2B427120"/>
    <w:rsid w:val="2BFA55F5"/>
    <w:rsid w:val="2C324F63"/>
    <w:rsid w:val="2C600DEC"/>
    <w:rsid w:val="2C9A526A"/>
    <w:rsid w:val="2CD177B2"/>
    <w:rsid w:val="2D654973"/>
    <w:rsid w:val="2D962EA1"/>
    <w:rsid w:val="2F901DA0"/>
    <w:rsid w:val="30613114"/>
    <w:rsid w:val="306C0FBF"/>
    <w:rsid w:val="307E6641"/>
    <w:rsid w:val="309745F7"/>
    <w:rsid w:val="30EC49F8"/>
    <w:rsid w:val="319D5866"/>
    <w:rsid w:val="32A06401"/>
    <w:rsid w:val="34887DD2"/>
    <w:rsid w:val="34D1788E"/>
    <w:rsid w:val="35383659"/>
    <w:rsid w:val="35E22A56"/>
    <w:rsid w:val="36606A4A"/>
    <w:rsid w:val="378A1123"/>
    <w:rsid w:val="3AF62537"/>
    <w:rsid w:val="3B5C01F3"/>
    <w:rsid w:val="3B5D312D"/>
    <w:rsid w:val="3C26126B"/>
    <w:rsid w:val="3C411489"/>
    <w:rsid w:val="3C534813"/>
    <w:rsid w:val="3E062E27"/>
    <w:rsid w:val="3E747D9F"/>
    <w:rsid w:val="3F392428"/>
    <w:rsid w:val="40383374"/>
    <w:rsid w:val="413253C2"/>
    <w:rsid w:val="41683078"/>
    <w:rsid w:val="41DA7AC8"/>
    <w:rsid w:val="422C1F27"/>
    <w:rsid w:val="42486EB5"/>
    <w:rsid w:val="425752EF"/>
    <w:rsid w:val="43C755C1"/>
    <w:rsid w:val="43D36FBB"/>
    <w:rsid w:val="46B5010B"/>
    <w:rsid w:val="46FF3287"/>
    <w:rsid w:val="471E2B6E"/>
    <w:rsid w:val="47EB3AF1"/>
    <w:rsid w:val="4A0F1C79"/>
    <w:rsid w:val="4A180E07"/>
    <w:rsid w:val="4AB71FF8"/>
    <w:rsid w:val="4AEB3876"/>
    <w:rsid w:val="4B5F0507"/>
    <w:rsid w:val="4C076124"/>
    <w:rsid w:val="4CDE0CEB"/>
    <w:rsid w:val="4D3118B7"/>
    <w:rsid w:val="4DD87988"/>
    <w:rsid w:val="4E5E2B42"/>
    <w:rsid w:val="4EB118F4"/>
    <w:rsid w:val="4EF447DC"/>
    <w:rsid w:val="4F7373C8"/>
    <w:rsid w:val="50B32D78"/>
    <w:rsid w:val="511B386C"/>
    <w:rsid w:val="51584253"/>
    <w:rsid w:val="51610F32"/>
    <w:rsid w:val="52340AD9"/>
    <w:rsid w:val="529F527F"/>
    <w:rsid w:val="552F6604"/>
    <w:rsid w:val="55F2158A"/>
    <w:rsid w:val="567F0FC4"/>
    <w:rsid w:val="57E92137"/>
    <w:rsid w:val="581327E8"/>
    <w:rsid w:val="59E2289B"/>
    <w:rsid w:val="5A69044E"/>
    <w:rsid w:val="5A723D62"/>
    <w:rsid w:val="5B1F1977"/>
    <w:rsid w:val="5B20246E"/>
    <w:rsid w:val="5B9B3B83"/>
    <w:rsid w:val="5C915484"/>
    <w:rsid w:val="5CFF3370"/>
    <w:rsid w:val="5F5F6BC6"/>
    <w:rsid w:val="5F8807A9"/>
    <w:rsid w:val="609C3196"/>
    <w:rsid w:val="6241487A"/>
    <w:rsid w:val="62FC4CB4"/>
    <w:rsid w:val="634503F0"/>
    <w:rsid w:val="664E677D"/>
    <w:rsid w:val="69B8100F"/>
    <w:rsid w:val="69BD4079"/>
    <w:rsid w:val="6A8D34E5"/>
    <w:rsid w:val="6AA05D42"/>
    <w:rsid w:val="6C5A1045"/>
    <w:rsid w:val="6D3E3717"/>
    <w:rsid w:val="6D596039"/>
    <w:rsid w:val="6D817D54"/>
    <w:rsid w:val="6F4F2BB2"/>
    <w:rsid w:val="6F687F0E"/>
    <w:rsid w:val="6FE50847"/>
    <w:rsid w:val="703007DD"/>
    <w:rsid w:val="7045629C"/>
    <w:rsid w:val="70BA22E1"/>
    <w:rsid w:val="70DF55F1"/>
    <w:rsid w:val="7127210E"/>
    <w:rsid w:val="71337A68"/>
    <w:rsid w:val="72FF42FF"/>
    <w:rsid w:val="735F33F0"/>
    <w:rsid w:val="74C13417"/>
    <w:rsid w:val="75211576"/>
    <w:rsid w:val="75B05E2B"/>
    <w:rsid w:val="75EC206E"/>
    <w:rsid w:val="761A3439"/>
    <w:rsid w:val="76BD634A"/>
    <w:rsid w:val="76E7772A"/>
    <w:rsid w:val="7AF37F5F"/>
    <w:rsid w:val="7B1101AF"/>
    <w:rsid w:val="7E4B2F3F"/>
    <w:rsid w:val="7E4F50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095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AE0950"/>
    <w:rPr>
      <w:sz w:val="18"/>
      <w:szCs w:val="18"/>
    </w:rPr>
  </w:style>
  <w:style w:type="paragraph" w:styleId="a4">
    <w:name w:val="footer"/>
    <w:basedOn w:val="a"/>
    <w:uiPriority w:val="99"/>
    <w:unhideWhenUsed/>
    <w:rsid w:val="00AE0950"/>
    <w:pPr>
      <w:tabs>
        <w:tab w:val="center" w:pos="4153"/>
        <w:tab w:val="right" w:pos="8306"/>
      </w:tabs>
      <w:snapToGrid w:val="0"/>
      <w:jc w:val="left"/>
    </w:pPr>
    <w:rPr>
      <w:sz w:val="18"/>
      <w:szCs w:val="18"/>
    </w:rPr>
  </w:style>
  <w:style w:type="paragraph" w:styleId="a5">
    <w:name w:val="header"/>
    <w:basedOn w:val="a"/>
    <w:link w:val="Char0"/>
    <w:rsid w:val="00AE0950"/>
    <w:pPr>
      <w:pBdr>
        <w:bottom w:val="single" w:sz="6" w:space="1" w:color="auto"/>
      </w:pBdr>
      <w:tabs>
        <w:tab w:val="center" w:pos="4153"/>
        <w:tab w:val="right" w:pos="8306"/>
      </w:tabs>
      <w:snapToGrid w:val="0"/>
      <w:jc w:val="center"/>
    </w:pPr>
    <w:rPr>
      <w:sz w:val="18"/>
      <w:szCs w:val="18"/>
    </w:rPr>
  </w:style>
  <w:style w:type="table" w:styleId="a6">
    <w:name w:val="Table Grid"/>
    <w:basedOn w:val="a1"/>
    <w:rsid w:val="00AE09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AE0950"/>
    <w:rPr>
      <w:color w:val="0000FF"/>
      <w:u w:val="single"/>
    </w:rPr>
  </w:style>
  <w:style w:type="paragraph" w:styleId="a8">
    <w:name w:val="Intense Quote"/>
    <w:basedOn w:val="a"/>
    <w:next w:val="a"/>
    <w:uiPriority w:val="30"/>
    <w:qFormat/>
    <w:rsid w:val="00AE0950"/>
    <w:pPr>
      <w:pBdr>
        <w:top w:val="single" w:sz="4" w:space="10" w:color="5B9BD5"/>
        <w:bottom w:val="single" w:sz="4" w:space="10" w:color="5B9BD5"/>
      </w:pBdr>
      <w:spacing w:before="360" w:after="360"/>
      <w:ind w:left="864" w:right="864"/>
      <w:jc w:val="center"/>
    </w:pPr>
    <w:rPr>
      <w:i/>
      <w:iCs/>
      <w:color w:val="5B9BD5"/>
    </w:rPr>
  </w:style>
  <w:style w:type="paragraph" w:styleId="a9">
    <w:name w:val="List Paragraph"/>
    <w:basedOn w:val="a"/>
    <w:uiPriority w:val="34"/>
    <w:qFormat/>
    <w:rsid w:val="00AE0950"/>
    <w:pPr>
      <w:ind w:firstLineChars="200" w:firstLine="420"/>
    </w:pPr>
  </w:style>
  <w:style w:type="character" w:customStyle="1" w:styleId="Char0">
    <w:name w:val="页眉 Char"/>
    <w:basedOn w:val="a0"/>
    <w:link w:val="a5"/>
    <w:qFormat/>
    <w:rsid w:val="00AE0950"/>
    <w:rPr>
      <w:rFonts w:ascii="Calibri" w:hAnsi="Calibri"/>
      <w:kern w:val="2"/>
      <w:sz w:val="18"/>
      <w:szCs w:val="18"/>
    </w:rPr>
  </w:style>
  <w:style w:type="character" w:customStyle="1" w:styleId="Char">
    <w:name w:val="批注框文本 Char"/>
    <w:basedOn w:val="a0"/>
    <w:link w:val="a3"/>
    <w:rsid w:val="00AE095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w.sudazscq.com/course/index.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new.sudazscq.com/course/index.aspx"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506</Words>
  <Characters>2889</Characters>
  <Application>Microsoft Office Word</Application>
  <DocSecurity>0</DocSecurity>
  <Lines>24</Lines>
  <Paragraphs>6</Paragraphs>
  <ScaleCrop>false</ScaleCrop>
  <Company>Microsoft</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pxzx</dc:creator>
  <cp:lastModifiedBy>FC</cp:lastModifiedBy>
  <cp:revision>4</cp:revision>
  <cp:lastPrinted>2020-06-11T04:47:00Z</cp:lastPrinted>
  <dcterms:created xsi:type="dcterms:W3CDTF">2021-04-30T05:59:00Z</dcterms:created>
  <dcterms:modified xsi:type="dcterms:W3CDTF">2021-04-30T06:46:00Z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488388011D1947EE98CEB07698174895</vt:lpwstr>
  </property>
</Properties>
</file>