
<file path=[Content_Types].xml><?xml version="1.0" encoding="utf-8"?>
<Types xmlns="http://schemas.openxmlformats.org/package/2006/content-types">
  <Default Extension="xml" ContentType="application/xml"/>
  <Default Extension="tiff" ContentType="image/tiff"/>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03.060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C11</w:t>
            </w:r>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49"/>
              <w:framePr w:w="0" w:hRule="auto" w:wrap="auto" w:vAnchor="margin" w:hAnchor="text" w:xAlign="left" w:yAlign="inline"/>
              <w:rPr>
                <w:rFonts w:ascii="宋体" w:hAnsi="宋体"/>
                <w:sz w:val="28"/>
                <w:szCs w:val="28"/>
              </w:rPr>
            </w:pPr>
            <w:bookmarkStart w:id="1"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2" w:name="c1"/>
            <w:r>
              <w:instrText xml:space="preserve"> FORMTEXT </w:instrText>
            </w:r>
            <w:r>
              <w:fldChar w:fldCharType="separate"/>
            </w:r>
            <w:r>
              <w:t>3206</w:t>
            </w:r>
            <w: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3"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南通市</w:t>
      </w:r>
      <w:r>
        <w:rPr>
          <w:rFonts w:ascii="黑体" w:eastAsia="黑体"/>
          <w:b w:val="0"/>
          <w:w w:val="100"/>
          <w:sz w:val="48"/>
        </w:rPr>
        <w:fldChar w:fldCharType="end"/>
      </w:r>
      <w:bookmarkEnd w:id="3"/>
      <w:r>
        <w:rPr>
          <w:rFonts w:hint="eastAsia" w:ascii="黑体" w:hAnsi="黑体" w:eastAsia="黑体"/>
          <w:b w:val="0"/>
          <w:bCs w:val="0"/>
          <w:w w:val="100"/>
          <w:sz w:val="48"/>
          <w:szCs w:val="48"/>
        </w:rPr>
        <w:t>地方标准</w:t>
      </w:r>
    </w:p>
    <w:bookmarkEnd w:id="1"/>
    <w:p>
      <w:pPr>
        <w:pStyle w:val="195"/>
        <w:framePr/>
        <w:rPr>
          <w:lang w:val="fr-FR"/>
        </w:rPr>
      </w:pPr>
      <w:r>
        <w:rPr>
          <w:lang w:val="fr-FR"/>
        </w:rPr>
        <w:t>DB</w:t>
      </w:r>
      <w:r>
        <w:fldChar w:fldCharType="begin">
          <w:ffData>
            <w:name w:val="文字1"/>
            <w:enabled/>
            <w:calcOnExit w:val="0"/>
            <w:textInput>
              <w:default w:val="XX/T"/>
            </w:textInput>
          </w:ffData>
        </w:fldChar>
      </w:r>
      <w:bookmarkStart w:id="4" w:name="文字1"/>
      <w:r>
        <w:rPr>
          <w:lang w:val="fr-FR"/>
        </w:rPr>
        <w:instrText xml:space="preserve"> FORMTEXT </w:instrText>
      </w:r>
      <w:r>
        <w:fldChar w:fldCharType="separate"/>
      </w:r>
      <w:r>
        <w:t>3206</w:t>
      </w:r>
      <w:r>
        <w:rPr>
          <w:lang w:val="fr-FR"/>
        </w:rPr>
        <w:t>/T</w:t>
      </w:r>
      <w:r>
        <w:fldChar w:fldCharType="end"/>
      </w:r>
      <w:bookmarkEnd w:id="4"/>
      <w:r>
        <w:fldChar w:fldCharType="begin">
          <w:ffData>
            <w:name w:val="NSTD_CODE_F"/>
            <w:enabled/>
            <w:calcOnExit w:val="0"/>
            <w:textInput>
              <w:default w:val="XXXX"/>
            </w:textInput>
          </w:ffData>
        </w:fldChar>
      </w:r>
      <w:bookmarkStart w:id="5" w:name="NSTD_CODE_F"/>
      <w:r>
        <w:rPr>
          <w:lang w:val="fr-FR"/>
        </w:rPr>
        <w:instrText xml:space="preserve"> FORMTEXT </w:instrText>
      </w:r>
      <w:r>
        <w:fldChar w:fldCharType="separate"/>
      </w:r>
      <w:r>
        <w:rPr>
          <w:lang w:val="fr-FR"/>
        </w:rPr>
        <w:t>XXXX</w:t>
      </w:r>
      <w:r>
        <w:fldChar w:fldCharType="end"/>
      </w:r>
      <w:bookmarkEnd w:id="5"/>
      <w:r>
        <w:rPr>
          <w:rFonts w:hAnsi="黑体"/>
          <w:lang w:val="fr-FR"/>
        </w:rPr>
        <w:t>—</w:t>
      </w:r>
      <w:r>
        <w:fldChar w:fldCharType="begin">
          <w:ffData>
            <w:name w:val="NSTD_CODE_B"/>
            <w:enabled/>
            <w:calcOnExit w:val="0"/>
            <w:textInput>
              <w:default w:val="XXXX"/>
            </w:textInput>
          </w:ffData>
        </w:fldChar>
      </w:r>
      <w:bookmarkStart w:id="6" w:name="NSTD_CODE_B"/>
      <w:r>
        <w:rPr>
          <w:lang w:val="fr-FR"/>
        </w:rPr>
        <w:instrText xml:space="preserve"> FORMTEXT </w:instrText>
      </w:r>
      <w:r>
        <w:fldChar w:fldCharType="separate"/>
      </w:r>
      <w:r>
        <w:t>2023</w:t>
      </w:r>
      <w:r>
        <w:fldChar w:fldCharType="end"/>
      </w:r>
      <w:bookmarkEnd w:id="6"/>
    </w:p>
    <w:p>
      <w:pPr>
        <w:pStyle w:val="196"/>
        <w:framePr/>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pict>
          <v:line id="直接连接符 73" o:spid="_x0000_s1026"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">
            <v:path arrowok="t"/>
            <v:fill focussize="0,0"/>
            <v:stroke/>
            <v:imagedata o:title=""/>
            <o:lock v:ext="edit"/>
          </v:line>
        </w:pic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金融服务适老化工作指南</w:t>
      </w:r>
      <w:r>
        <w:fldChar w:fldCharType="end"/>
      </w:r>
      <w:bookmarkEnd w:id="8"/>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Guidance for Elderly Financial Services</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bookmarkStart w:id="10" w:name="下拉1"/>
      <w:r>
        <w:rPr>
          <w:rFonts w:hint="eastAsia" w:cs="Times New Roman"/>
          <w:sz w:val="24"/>
          <w:szCs w:val="28"/>
          <w:lang w:val="en-US" w:eastAsia="zh-CN" w:bidi="ar-SA"/>
        </w:rPr>
        <w:t>（</w:t>
      </w:r>
      <w:r>
        <w:rPr>
          <w:rFonts w:hint="eastAsia" w:cs="Times New Roman"/>
          <w:sz w:val="24"/>
          <w:szCs w:val="28"/>
          <w:lang w:val="en-US" w:eastAsia="zh-CN" w:bidi="ar-SA"/>
        </w:rPr>
        <w:t>报批稿</w:t>
      </w:r>
      <w:r>
        <w:rPr>
          <w:rFonts w:hint="eastAsia" w:cs="Times New Roman"/>
          <w:sz w:val="24"/>
          <w:szCs w:val="28"/>
          <w:lang w:val="en-US" w:eastAsia="zh-CN" w:bidi="ar-SA"/>
        </w:rPr>
        <w:t>）</w:t>
      </w:r>
      <w:r>
        <w:rPr>
          <w:rFonts w:ascii="Times New Roman" w:hAnsi="Times New Roman" w:eastAsia="宋体" w:cs="Times New Roman"/>
          <w:sz w:val="24"/>
          <w:szCs w:val="28"/>
          <w:lang w:val="en-US" w:eastAsia="zh-CN" w:bidi="ar-SA"/>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rFonts w:ascii="Times New Roman" w:hAnsi="Times New Roman" w:eastAsia="宋体" w:cs="Times New Roman"/>
          <w:sz w:val="24"/>
          <w:szCs w:val="28"/>
          <w:lang w:val="en-US" w:eastAsia="zh-CN" w:bidi="ar-SA"/>
        </w:rPr>
        <w:instrText xml:space="preserve">FORMDROPDOWN</w:instrText>
      </w:r>
      <w:r>
        <w:rPr>
          <w:rFonts w:ascii="Times New Roman" w:hAnsi="Times New Roman" w:eastAsia="宋体" w:cs="Times New Roman"/>
          <w:sz w:val="24"/>
          <w:szCs w:val="28"/>
          <w:lang w:val="en-US" w:eastAsia="zh-CN" w:bidi="ar-SA"/>
        </w:rPr>
        <w:fldChar w:fldCharType="separate"/>
      </w:r>
      <w:r>
        <w:rPr>
          <w:rFonts w:ascii="Times New Roman" w:hAnsi="Times New Roman" w:eastAsia="宋体" w:cs="Times New Roman"/>
          <w:sz w:val="24"/>
          <w:szCs w:val="28"/>
          <w:lang w:val="en-US" w:eastAsia="zh-CN" w:bidi="ar-SA"/>
        </w:rPr>
        <w:fldChar w:fldCharType="end"/>
      </w:r>
      <w:bookmarkEnd w:id="10"/>
    </w:p>
    <w:p>
      <w:pPr>
        <w:pStyle w:val="125"/>
        <w:framePr w:w="9639" w:h="6974" w:hRule="exact" w:wrap="around" w:vAnchor="page" w:hAnchor="page" w:x="1419" w:y="6408" w:anchorLock="1"/>
        <w:spacing w:before="180" w:line="240" w:lineRule="atLeast"/>
        <w:textAlignment w:val="bottom"/>
        <w:rPr>
          <w:sz w:val="21"/>
          <w:szCs w:val="28"/>
        </w:rPr>
      </w:pPr>
    </w:p>
    <w:p>
      <w:pPr>
        <w:pStyle w:val="125"/>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pPr>
        <w:pStyle w:val="193"/>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2023</w:t>
      </w:r>
      <w:r>
        <w:rPr>
          <w:rFonts w:ascii="黑体"/>
        </w:rPr>
        <w:fldChar w:fldCharType="end"/>
      </w:r>
      <w:bookmarkEnd w:id="12"/>
      <w:r>
        <w:rPr>
          <w:rFonts w:ascii="黑体"/>
        </w:rPr>
        <w:t>-</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ascii="黑体"/>
        </w:rPr>
        <w:t>-</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2023</w:t>
      </w:r>
      <w:r>
        <w:rPr>
          <w:rFonts w:ascii="黑体"/>
        </w:rPr>
        <w:fldChar w:fldCharType="end"/>
      </w:r>
      <w:bookmarkEnd w:id="15"/>
      <w:r>
        <w:rPr>
          <w:rFonts w:ascii="黑体"/>
        </w:rPr>
        <w:t>-</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ascii="黑体"/>
        </w:rPr>
        <w:t>-</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151"/>
        <w:framePr w:h="584" w:hRule="exact" w:hSpace="181" w:vSpace="181" w:wrap="around" w:y="15027"/>
        <w:rPr>
          <w:rFonts w:hAnsi="黑体"/>
        </w:rPr>
      </w:pPr>
      <w:r>
        <w:rPr>
          <w:rFonts w:hint="eastAsia" w:hAnsi="黑体"/>
          <w:w w:val="100"/>
          <w:sz w:val="28"/>
        </w:rPr>
        <w:t>南通市市场监督管理局</w:t>
      </w:r>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pict>
          <v:line id="直接连接符 5" o:spid="_x0000_s1027"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">
            <v:path arrowok="t"/>
            <v:fill focussize="0,0"/>
            <v:stroke/>
            <v:imagedata o:title=""/>
            <o:lock v:ext="edit"/>
            <w10:anchorlock/>
          </v:line>
        </w:pict>
      </w:r>
    </w:p>
    <w:p>
      <w:pPr>
        <w:pStyle w:val="91"/>
        <w:spacing w:after="468"/>
        <w:rPr>
          <w:rFonts w:hint="eastAsia"/>
        </w:rPr>
      </w:pPr>
      <w:bookmarkStart w:id="18" w:name="BookMark1"/>
      <w:bookmarkStart w:id="19" w:name="_Toc151126816"/>
      <w:bookmarkStart w:id="20" w:name="_Toc151280192"/>
      <w:bookmarkStart w:id="21" w:name="_Toc149206708"/>
      <w:bookmarkStart w:id="22" w:name="_Toc149146325"/>
      <w:bookmarkStart w:id="23" w:name="_Toc149204827"/>
      <w:bookmarkStart w:id="24" w:name="_Toc149205404"/>
      <w:bookmarkStart w:id="25" w:name="_Toc149205020"/>
      <w:bookmarkStart w:id="26" w:name="_Toc149205374"/>
      <w:bookmarkStart w:id="27" w:name="_Toc149204972"/>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w:instrText>
      </w:r>
      <w:r>
        <w:rPr>
          <w:rFonts w:hint="eastAsia"/>
        </w:rPr>
        <w:instrText xml:space="preserve">TOC \o "1-1" \h</w:instrText>
      </w:r>
      <w:r>
        <w:instrText xml:space="preserve"> </w:instrText>
      </w:r>
      <w:r>
        <w:fldChar w:fldCharType="separate"/>
      </w:r>
      <w:r>
        <w:fldChar w:fldCharType="begin"/>
      </w:r>
      <w:r>
        <w:instrText xml:space="preserve"> HYPERLINK \l "_Toc151369769" </w:instrText>
      </w:r>
      <w:r>
        <w:fldChar w:fldCharType="separate"/>
      </w:r>
      <w:r>
        <w:rPr>
          <w:rStyle w:val="32"/>
          <w:rFonts w:hint="eastAsia"/>
        </w:rPr>
        <w:t>前言</w:t>
      </w:r>
      <w:r>
        <w:tab/>
      </w:r>
      <w:r>
        <w:fldChar w:fldCharType="begin"/>
      </w:r>
      <w:r>
        <w:instrText xml:space="preserve"> PAGEREF _Toc151369769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"_Toc151369770" </w:instrText>
      </w:r>
      <w:r>
        <w:fldChar w:fldCharType="separate"/>
      </w:r>
      <w:r>
        <w:rPr>
          <w:rStyle w:val="32"/>
        </w:rPr>
        <w:t xml:space="preserve">1 </w:t>
      </w:r>
      <w:r>
        <w:rPr>
          <w:rStyle w:val="32"/>
          <w:rFonts w:hint="eastAsia"/>
        </w:rPr>
        <w:t xml:space="preserve"> 范围</w:t>
      </w:r>
      <w:r>
        <w:tab/>
      </w:r>
      <w:r>
        <w:fldChar w:fldCharType="begin"/>
      </w:r>
      <w:r>
        <w:instrText xml:space="preserve"> PAGEREF _Toc151369770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"_Toc151369771"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_Toc151369771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"_Toc151369772"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_Toc151369772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"_Toc151369773" </w:instrText>
      </w:r>
      <w:r>
        <w:fldChar w:fldCharType="separate"/>
      </w:r>
      <w:r>
        <w:rPr>
          <w:rStyle w:val="32"/>
        </w:rPr>
        <w:t xml:space="preserve">4 </w:t>
      </w:r>
      <w:r>
        <w:rPr>
          <w:rStyle w:val="32"/>
          <w:rFonts w:hint="eastAsia"/>
        </w:rPr>
        <w:t xml:space="preserve"> 银行营业网点适老化改造</w:t>
      </w:r>
      <w:r>
        <w:tab/>
      </w:r>
      <w:r>
        <w:fldChar w:fldCharType="begin"/>
      </w:r>
      <w:r>
        <w:instrText xml:space="preserve"> PAGEREF _Toc151369773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"_Toc151369774" </w:instrText>
      </w:r>
      <w:r>
        <w:fldChar w:fldCharType="separate"/>
      </w:r>
      <w:r>
        <w:rPr>
          <w:rStyle w:val="32"/>
        </w:rPr>
        <w:t xml:space="preserve">5 </w:t>
      </w:r>
      <w:r>
        <w:rPr>
          <w:rStyle w:val="32"/>
          <w:rFonts w:hint="eastAsia"/>
        </w:rPr>
        <w:t xml:space="preserve"> 移动支付服务</w:t>
      </w:r>
      <w:r>
        <w:tab/>
      </w:r>
      <w:r>
        <w:fldChar w:fldCharType="begin"/>
      </w:r>
      <w:r>
        <w:instrText xml:space="preserve"> PAGEREF _Toc151369774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"_Toc151369775" </w:instrText>
      </w:r>
      <w:r>
        <w:fldChar w:fldCharType="separate"/>
      </w:r>
      <w:r>
        <w:rPr>
          <w:rStyle w:val="32"/>
        </w:rPr>
        <w:t xml:space="preserve">6 </w:t>
      </w:r>
      <w:r>
        <w:rPr>
          <w:rStyle w:val="32"/>
          <w:rFonts w:hint="eastAsia"/>
        </w:rPr>
        <w:t xml:space="preserve"> 业务办理流程</w:t>
      </w:r>
      <w:r>
        <w:tab/>
      </w:r>
      <w:r>
        <w:fldChar w:fldCharType="begin"/>
      </w:r>
      <w:r>
        <w:instrText xml:space="preserve"> PAGEREF _Toc151369775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"_Toc151369776" </w:instrText>
      </w:r>
      <w:r>
        <w:fldChar w:fldCharType="separate"/>
      </w:r>
      <w:r>
        <w:rPr>
          <w:rStyle w:val="32"/>
        </w:rPr>
        <w:t xml:space="preserve">7 </w:t>
      </w:r>
      <w:r>
        <w:rPr>
          <w:rStyle w:val="32"/>
          <w:rFonts w:hint="eastAsia"/>
        </w:rPr>
        <w:t xml:space="preserve"> 受理终端</w:t>
      </w:r>
      <w:r>
        <w:tab/>
      </w:r>
      <w:r>
        <w:fldChar w:fldCharType="begin"/>
      </w:r>
      <w:r>
        <w:instrText xml:space="preserve"> PAGEREF _Toc151369776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"_Toc151369777" </w:instrText>
      </w:r>
      <w:r>
        <w:fldChar w:fldCharType="separate"/>
      </w:r>
      <w:r>
        <w:rPr>
          <w:rStyle w:val="32"/>
        </w:rPr>
        <w:t xml:space="preserve">8 </w:t>
      </w:r>
      <w:r>
        <w:rPr>
          <w:rStyle w:val="32"/>
          <w:rFonts w:hint="eastAsia"/>
        </w:rPr>
        <w:t xml:space="preserve"> 权益保障</w:t>
      </w:r>
      <w:r>
        <w:tab/>
      </w:r>
      <w:r>
        <w:fldChar w:fldCharType="begin"/>
      </w:r>
      <w:r>
        <w:instrText xml:space="preserve"> PAGEREF _Toc151369777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"_Toc151369778" </w:instrText>
      </w:r>
      <w:r>
        <w:fldChar w:fldCharType="separate"/>
      </w:r>
      <w:r>
        <w:rPr>
          <w:rStyle w:val="32"/>
        </w:rPr>
        <w:t xml:space="preserve">9 </w:t>
      </w:r>
      <w:r>
        <w:rPr>
          <w:rStyle w:val="32"/>
          <w:rFonts w:hint="eastAsia"/>
        </w:rPr>
        <w:t xml:space="preserve"> 农村地区普惠金融服务点</w:t>
      </w:r>
      <w:r>
        <w:tab/>
      </w:r>
      <w:r>
        <w:fldChar w:fldCharType="begin"/>
      </w:r>
      <w:r>
        <w:instrText xml:space="preserve"> PAGEREF _Toc151369778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"_Toc151369779" </w:instrText>
      </w:r>
      <w:r>
        <w:fldChar w:fldCharType="separate"/>
      </w:r>
      <w:r>
        <w:rPr>
          <w:rStyle w:val="32"/>
        </w:rPr>
        <w:t xml:space="preserve">10 </w:t>
      </w:r>
      <w:r>
        <w:rPr>
          <w:rStyle w:val="32"/>
          <w:rFonts w:hint="eastAsia"/>
        </w:rPr>
        <w:t xml:space="preserve"> 宣传与营销</w:t>
      </w:r>
      <w:r>
        <w:tab/>
      </w:r>
      <w:r>
        <w:fldChar w:fldCharType="begin"/>
      </w:r>
      <w:r>
        <w:instrText xml:space="preserve"> PAGEREF _Toc151369779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"_Toc151369780" </w:instrText>
      </w:r>
      <w:r>
        <w:fldChar w:fldCharType="separate"/>
      </w:r>
      <w:r>
        <w:rPr>
          <w:rStyle w:val="32"/>
        </w:rPr>
        <w:t xml:space="preserve">11 </w:t>
      </w:r>
      <w:r>
        <w:rPr>
          <w:rStyle w:val="32"/>
          <w:rFonts w:hint="eastAsia"/>
        </w:rPr>
        <w:t xml:space="preserve"> 评价与结果运用</w:t>
      </w:r>
      <w:r>
        <w:tab/>
      </w:r>
      <w:r>
        <w:fldChar w:fldCharType="begin"/>
      </w:r>
      <w:r>
        <w:instrText xml:space="preserve"> PAGEREF _Toc151369780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"_Toc151369781" </w:instrText>
      </w:r>
      <w:r>
        <w:fldChar w:fldCharType="separate"/>
      </w:r>
      <w:r>
        <w:rPr>
          <w:rStyle w:val="32"/>
          <w:rFonts w:hint="eastAsia"/>
        </w:rPr>
        <w:t>附录A（资料性）</w:t>
      </w:r>
      <w:r>
        <w:rPr>
          <w:rStyle w:val="32"/>
        </w:rPr>
        <w:t xml:space="preserve">  </w:t>
      </w:r>
      <w:r>
        <w:rPr>
          <w:rStyle w:val="32"/>
          <w:rFonts w:hint="eastAsia"/>
        </w:rPr>
        <w:t>银行业适老化服务示范网点评分表</w:t>
      </w:r>
      <w:r>
        <w:tab/>
      </w:r>
      <w:r>
        <w:fldChar w:fldCharType="begin"/>
      </w:r>
      <w:r>
        <w:instrText xml:space="preserve"> PAGEREF _Toc151369781 \h </w:instrText>
      </w:r>
      <w:r>
        <w:fldChar w:fldCharType="separate"/>
      </w:r>
      <w:r>
        <w:t>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"_Toc151369782" </w:instrText>
      </w:r>
      <w:r>
        <w:fldChar w:fldCharType="separate"/>
      </w:r>
      <w:r>
        <w:rPr>
          <w:rStyle w:val="32"/>
          <w:rFonts w:hint="eastAsia"/>
        </w:rPr>
        <w:t>附录B（资料性）</w:t>
      </w:r>
      <w:r>
        <w:rPr>
          <w:rStyle w:val="32"/>
        </w:rPr>
        <w:t xml:space="preserve">  </w:t>
      </w:r>
      <w:r>
        <w:rPr>
          <w:rStyle w:val="32"/>
          <w:rFonts w:hint="eastAsia"/>
        </w:rPr>
        <w:t>银行业金融机构适老化服务示范网点标识牌</w:t>
      </w:r>
      <w:r>
        <w:tab/>
      </w:r>
      <w:r>
        <w:fldChar w:fldCharType="begin"/>
      </w:r>
      <w:r>
        <w:instrText xml:space="preserve"> PAGEREF _Toc151369782 \h </w:instrText>
      </w:r>
      <w:r>
        <w:fldChar w:fldCharType="separate"/>
      </w:r>
      <w:r>
        <w:t>11</w:t>
      </w:r>
      <w:r>
        <w:fldChar w:fldCharType="end"/>
      </w:r>
      <w:r>
        <w:fldChar w:fldCharType="end"/>
      </w:r>
    </w:p>
    <w:p>
      <w:pPr>
        <w:pStyle w:val="91"/>
        <w:spacing w:after="468"/>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18"/>
    <w:p>
      <w:pPr>
        <w:pStyle w:val="89"/>
        <w:spacing w:after="468"/>
      </w:pPr>
      <w:bookmarkStart w:id="28" w:name="_Toc151369769"/>
      <w:bookmarkStart w:id="29" w:name="BookMark2"/>
      <w:r>
        <w:rPr>
          <w:spacing w:val="320"/>
        </w:rPr>
        <w:t>前</w:t>
      </w:r>
      <w:r>
        <w:t>言</w:t>
      </w:r>
      <w:bookmarkEnd w:id="19"/>
      <w:bookmarkEnd w:id="20"/>
      <w:bookmarkEnd w:id="21"/>
      <w:bookmarkEnd w:id="22"/>
      <w:bookmarkEnd w:id="23"/>
      <w:bookmarkEnd w:id="24"/>
      <w:bookmarkEnd w:id="25"/>
      <w:bookmarkEnd w:id="26"/>
      <w:bookmarkEnd w:id="27"/>
      <w:bookmarkEnd w:id="28"/>
    </w:p>
    <w:p>
      <w:pPr>
        <w:pStyle w:val="56"/>
        <w:ind w:firstLine="420"/>
      </w:pPr>
      <w:r>
        <w:rPr>
          <w:rFonts w:hint="eastAsia"/>
        </w:rPr>
        <w:t>本文件按照GB/T 1.1—2020《标准化工作导则  第1部分：标准化文件的结构和起草规则》的规定起草。</w:t>
      </w:r>
    </w:p>
    <w:p>
      <w:pPr>
        <w:ind w:firstLine="420" w:firstLineChars="200"/>
      </w:pPr>
      <w:r>
        <w:rPr>
          <w:rFonts w:hint="eastAsia" w:ascii="宋体" w:hAnsi="宋体"/>
        </w:rPr>
        <w:t>请注意本文件的某些内容可能涉及专利。本文件的发布机构不承担识别专利的责任。</w:t>
      </w:r>
    </w:p>
    <w:p>
      <w:pPr>
        <w:pStyle w:val="56"/>
        <w:ind w:firstLine="420"/>
      </w:pPr>
      <w:r>
        <w:rPr>
          <w:rFonts w:hint="eastAsia"/>
        </w:rPr>
        <w:t>本文件由南通市银行卡业协会提出。</w:t>
      </w:r>
    </w:p>
    <w:p>
      <w:pPr>
        <w:pStyle w:val="56"/>
        <w:ind w:firstLine="420"/>
      </w:pPr>
      <w:r>
        <w:rPr>
          <w:rFonts w:hint="eastAsia"/>
        </w:rPr>
        <w:t>本文件由人民银行南通市分行归口。</w:t>
      </w:r>
    </w:p>
    <w:p>
      <w:pPr>
        <w:pStyle w:val="56"/>
        <w:ind w:firstLine="420"/>
      </w:pPr>
      <w:r>
        <w:rPr>
          <w:rFonts w:hint="eastAsia"/>
        </w:rPr>
        <w:t>本文件起草单位：人民银行南通市分行、南通市银行卡业协会。</w:t>
      </w:r>
    </w:p>
    <w:p>
      <w:pPr>
        <w:pStyle w:val="56"/>
        <w:ind w:firstLine="420"/>
      </w:pPr>
      <w:r>
        <w:rPr>
          <w:rFonts w:hint="eastAsia"/>
        </w:rPr>
        <w:t>本文件主要起草人：沈莲、陶鑫洋、成丽丽、袁蓓兰、卢小玲、李娴菊、潘佳佳。</w:t>
      </w:r>
    </w:p>
    <w:p>
      <w:pPr>
        <w:pStyle w:val="56"/>
        <w:ind w:firstLine="420"/>
        <w:sectPr>
          <w:pgSz w:w="11906" w:h="16838"/>
          <w:pgMar w:top="2410" w:right="1134" w:bottom="1134" w:left="1134" w:header="1418" w:footer="1134" w:gutter="284"/>
          <w:pgNumType w:fmt="upperRoman"/>
          <w:cols w:space="425" w:num="1"/>
          <w:formProt w:val="0"/>
          <w:docGrid w:type="lines" w:linePitch="312" w:charSpace="0"/>
        </w:sectPr>
      </w:pPr>
    </w:p>
    <w:bookmarkEnd w:id="29"/>
    <w:p>
      <w:pPr>
        <w:spacing w:line="20" w:lineRule="exact"/>
        <w:jc w:val="center"/>
        <w:rPr>
          <w:rFonts w:ascii="黑体" w:hAnsi="黑体" w:eastAsia="黑体"/>
          <w:sz w:val="32"/>
          <w:szCs w:val="32"/>
        </w:rPr>
      </w:pPr>
      <w:bookmarkStart w:id="30" w:name="BookMark4"/>
    </w:p>
    <w:p>
      <w:pPr>
        <w:spacing w:line="20" w:lineRule="exact"/>
        <w:jc w:val="center"/>
        <w:rPr>
          <w:rFonts w:ascii="黑体" w:hAnsi="黑体" w:eastAsia="黑体"/>
          <w:sz w:val="32"/>
          <w:szCs w:val="32"/>
        </w:rPr>
      </w:pPr>
    </w:p>
    <w:sdt>
      <w:sdtPr>
        <w:tag w:val="NEW_STAND_NAME"/>
        <w:id w:val="595910757"/>
        <w:lock w:val="sdtLocked"/>
        <w:placeholder>
          <w:docPart w:val="B930ED1E4B844E2395B53DC5BC1602EC"/>
        </w:placeholder>
      </w:sdtPr>
      <w:sdtContent>
        <w:p>
          <w:pPr>
            <w:pStyle w:val="177"/>
            <w:spacing w:beforeLines="1" w:afterLines="220"/>
          </w:pPr>
          <w:bookmarkStart w:id="31" w:name="NEW_STAND_NAME"/>
          <w:r>
            <w:rPr>
              <w:rFonts w:hint="eastAsia"/>
            </w:rPr>
            <w:t>金融服务适老化工作指南</w:t>
          </w:r>
        </w:p>
      </w:sdtContent>
    </w:sdt>
    <w:bookmarkEnd w:id="31"/>
    <w:p>
      <w:pPr>
        <w:pStyle w:val="104"/>
        <w:spacing w:before="312" w:after="312"/>
      </w:pPr>
      <w:bookmarkStart w:id="32" w:name="_Toc151369770"/>
      <w:bookmarkStart w:id="33" w:name="_Toc24884218"/>
      <w:bookmarkStart w:id="34" w:name="_Toc149205406"/>
      <w:bookmarkStart w:id="35" w:name="_Toc149205022"/>
      <w:bookmarkStart w:id="36" w:name="_Toc26648465"/>
      <w:bookmarkStart w:id="37" w:name="_Toc149146327"/>
      <w:bookmarkStart w:id="38" w:name="_Toc151126817"/>
      <w:bookmarkStart w:id="39" w:name="_Toc17233325"/>
      <w:bookmarkStart w:id="40" w:name="_Toc26986530"/>
      <w:bookmarkStart w:id="41" w:name="_Toc26718930"/>
      <w:bookmarkStart w:id="42" w:name="_Toc24884211"/>
      <w:bookmarkStart w:id="43" w:name="_Toc26986771"/>
      <w:bookmarkStart w:id="44" w:name="_Toc149204829"/>
      <w:bookmarkStart w:id="45" w:name="_Toc149204974"/>
      <w:bookmarkStart w:id="46" w:name="_Toc149206710"/>
      <w:bookmarkStart w:id="47" w:name="_Toc151280193"/>
      <w:bookmarkStart w:id="48" w:name="_Toc149205376"/>
      <w:bookmarkStart w:id="49" w:name="_Toc17233333"/>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ind w:firstLine="420" w:firstLineChars="200"/>
        <w:jc w:val="left"/>
        <w:rPr>
          <w:rFonts w:hint="eastAsia" w:ascii="宋体" w:hAnsi="宋体" w:cs="宋体"/>
          <w:kern w:val="0"/>
          <w:szCs w:val="20"/>
        </w:rPr>
      </w:pPr>
      <w:bookmarkStart w:id="50" w:name="_Toc24884219"/>
      <w:bookmarkStart w:id="51" w:name="_Toc26648466"/>
      <w:bookmarkStart w:id="52" w:name="_Toc17233334"/>
      <w:bookmarkStart w:id="53" w:name="_Toc24884212"/>
      <w:bookmarkStart w:id="54" w:name="_Toc17233326"/>
      <w:r>
        <w:rPr>
          <w:rFonts w:hint="eastAsia" w:ascii="宋体" w:hAnsi="宋体" w:cs="宋体"/>
          <w:kern w:val="0"/>
          <w:szCs w:val="20"/>
        </w:rPr>
        <w:t>本文件对银行业金融机构在营业网点适老化改造、移动支付服务、业务办理流程、受理终端改造、老年人权益保障、农村地区普惠金融服务点建设和适老化改造，以及老年人金融产品宣传与营销方面提出指导性建议。</w:t>
      </w:r>
    </w:p>
    <w:p>
      <w:pPr>
        <w:ind w:firstLine="420" w:firstLineChars="200"/>
        <w:jc w:val="left"/>
        <w:rPr>
          <w:rFonts w:ascii="宋体" w:hAnsi="宋体" w:cs="宋体"/>
          <w:kern w:val="0"/>
          <w:szCs w:val="20"/>
        </w:rPr>
      </w:pPr>
      <w:r>
        <w:rPr>
          <w:rFonts w:hint="eastAsia" w:ascii="宋体" w:hAnsi="宋体" w:cs="宋体"/>
          <w:kern w:val="0"/>
          <w:szCs w:val="20"/>
        </w:rPr>
        <w:t>本文件适用于银行业金融机构提供适老化金融服务工作。</w:t>
      </w:r>
    </w:p>
    <w:p>
      <w:pPr>
        <w:pStyle w:val="104"/>
        <w:spacing w:before="312" w:after="312"/>
      </w:pPr>
      <w:bookmarkStart w:id="55" w:name="_Toc151369771"/>
      <w:bookmarkStart w:id="56" w:name="_Toc151280194"/>
      <w:bookmarkStart w:id="57" w:name="_Toc149204975"/>
      <w:bookmarkStart w:id="58" w:name="_Toc26986772"/>
      <w:bookmarkStart w:id="59" w:name="_Toc26718931"/>
      <w:bookmarkStart w:id="60" w:name="_Toc149205023"/>
      <w:bookmarkStart w:id="61" w:name="_Toc151126818"/>
      <w:bookmarkStart w:id="62" w:name="_Toc149205377"/>
      <w:bookmarkStart w:id="63" w:name="_Toc149206711"/>
      <w:bookmarkStart w:id="64" w:name="_Toc149205407"/>
      <w:bookmarkStart w:id="65" w:name="_Toc26986531"/>
      <w:bookmarkStart w:id="66" w:name="_Toc149146328"/>
      <w:bookmarkStart w:id="67" w:name="_Toc149204830"/>
      <w:r>
        <w:rPr>
          <w:rFonts w:hint="eastAsia"/>
        </w:rPr>
        <w:t>规范性引用文件</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sdt>
      <w:sdtPr>
        <w:rPr>
          <w:rFonts w:hint="eastAsia" w:ascii="黑体" w:eastAsia="黑体"/>
        </w:rPr>
        <w:id w:val="715848253"/>
        <w:placeholder>
          <w:docPart w:val="56CCC8DB6CB746638FEE3EAF3B755BE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宋体" w:hAnsi="宋体" w:eastAsia="宋体" w:cs="宋体"/>
        </w:rPr>
      </w:sdtEndPr>
      <w:sdtContent>
        <w:p>
          <w:pPr>
            <w:pStyle w:val="56"/>
            <w:ind w:firstLine="420"/>
            <w:rPr>
              <w:rFonts w:hAnsi="宋体" w:cs="宋体"/>
            </w:rPr>
          </w:pPr>
          <w:r>
            <w:rPr>
              <w:rFonts w:hint="eastAsia" w:hAnsi="宋体" w:cs="宋体"/>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hAnsi="宋体"/>
        </w:rPr>
      </w:pPr>
      <w:r>
        <w:rPr>
          <w:rFonts w:hint="eastAsia" w:hAnsi="宋体"/>
        </w:rPr>
        <w:t>GB/T 32312  银行业客户服务中心服务评价指标规范</w:t>
      </w:r>
    </w:p>
    <w:p>
      <w:pPr>
        <w:pStyle w:val="56"/>
        <w:ind w:firstLine="420"/>
        <w:rPr>
          <w:rFonts w:hAnsi="宋体"/>
        </w:rPr>
      </w:pPr>
      <w:r>
        <w:rPr>
          <w:rFonts w:hint="eastAsia" w:hAnsi="宋体"/>
        </w:rPr>
        <w:t>GB/T 32315  银行业客户服务中心基本要求</w:t>
      </w:r>
    </w:p>
    <w:p>
      <w:pPr>
        <w:pStyle w:val="56"/>
        <w:ind w:firstLine="420"/>
        <w:rPr>
          <w:rFonts w:hAnsi="宋体"/>
        </w:rPr>
      </w:pPr>
      <w:r>
        <w:rPr>
          <w:rFonts w:hint="eastAsia" w:hAnsi="宋体"/>
        </w:rPr>
        <w:t>GB/T 32320  银行营业网点服务基本要求</w:t>
      </w:r>
    </w:p>
    <w:p>
      <w:pPr>
        <w:pStyle w:val="56"/>
        <w:ind w:firstLine="420"/>
        <w:rPr>
          <w:rFonts w:hAnsi="宋体"/>
        </w:rPr>
      </w:pPr>
      <w:r>
        <w:rPr>
          <w:rFonts w:hint="eastAsia" w:hAnsi="宋体"/>
        </w:rPr>
        <w:t>JR/T 0157   农村普惠金融服务点支付服务点技术规范</w:t>
      </w:r>
    </w:p>
    <w:p>
      <w:pPr>
        <w:pStyle w:val="56"/>
        <w:ind w:firstLine="420"/>
        <w:rPr>
          <w:rFonts w:hAnsi="宋体"/>
        </w:rPr>
      </w:pPr>
      <w:r>
        <w:rPr>
          <w:rFonts w:hint="eastAsia" w:hAnsi="宋体"/>
        </w:rPr>
        <w:t>T/NTBCA 002  南通市金融服务适老化工作规范</w:t>
      </w:r>
    </w:p>
    <w:p>
      <w:pPr>
        <w:pStyle w:val="104"/>
        <w:spacing w:before="312" w:after="312"/>
      </w:pPr>
      <w:bookmarkStart w:id="68" w:name="_Toc151369772"/>
      <w:bookmarkStart w:id="69" w:name="_Toc149205378"/>
      <w:bookmarkStart w:id="70" w:name="_Toc151280195"/>
      <w:bookmarkStart w:id="71" w:name="_Toc149204831"/>
      <w:bookmarkStart w:id="72" w:name="_Toc149206712"/>
      <w:bookmarkStart w:id="73" w:name="_Toc149146329"/>
      <w:bookmarkStart w:id="74" w:name="_Toc149205408"/>
      <w:bookmarkStart w:id="75" w:name="_Toc151126819"/>
      <w:bookmarkStart w:id="76" w:name="_Toc149205024"/>
      <w:bookmarkStart w:id="77" w:name="_Toc149204976"/>
      <w:r>
        <w:rPr>
          <w:rFonts w:hint="eastAsia"/>
        </w:rPr>
        <w:t>术语和定义</w:t>
      </w:r>
      <w:bookmarkEnd w:id="68"/>
      <w:bookmarkEnd w:id="69"/>
      <w:bookmarkEnd w:id="70"/>
      <w:bookmarkEnd w:id="71"/>
      <w:bookmarkEnd w:id="72"/>
      <w:bookmarkEnd w:id="73"/>
      <w:bookmarkEnd w:id="74"/>
      <w:bookmarkEnd w:id="75"/>
      <w:bookmarkEnd w:id="76"/>
      <w:bookmarkEnd w:id="77"/>
    </w:p>
    <w:p>
      <w:pPr>
        <w:pStyle w:val="56"/>
        <w:ind w:firstLine="420"/>
        <w:rPr>
          <w:rFonts w:ascii="黑体" w:eastAsia="黑体"/>
        </w:rPr>
      </w:pPr>
      <w:bookmarkStart w:id="78" w:name="_Toc26986532"/>
      <w:bookmarkEnd w:id="78"/>
      <w:sdt>
        <w:sdtPr>
          <w:rPr>
            <w:rFonts w:ascii="黑体" w:eastAsia="黑体"/>
          </w:rPr>
          <w:id w:val="-1909835108"/>
          <w:placeholder>
            <w:docPart w:val="4BFE5470F95F489FB16C8F2DCC83671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黑体" w:eastAsia="黑体"/>
          </w:rPr>
        </w:sdtEndPr>
        <w:sdtContent>
          <w:r>
            <w:rPr>
              <w:rFonts w:ascii="黑体" w:eastAsia="黑体"/>
            </w:rPr>
            <w:t>下列术语和定义适用于本文件。</w:t>
          </w:r>
        </w:sdtContent>
      </w:sdt>
    </w:p>
    <w:p>
      <w:pPr>
        <w:pStyle w:val="223"/>
        <w:ind w:left="420" w:hanging="420" w:hangingChars="200"/>
        <w:rPr>
          <w:rFonts w:ascii="黑体" w:hAnsi="黑体" w:eastAsia="黑体"/>
        </w:rPr>
      </w:pPr>
      <w:bookmarkStart w:id="79" w:name="_Toc149205025"/>
      <w:bookmarkStart w:id="80" w:name="_Toc149205409"/>
      <w:bookmarkStart w:id="81" w:name="_Toc149204977"/>
      <w:bookmarkStart w:id="82" w:name="_Toc149205379"/>
      <w:bookmarkStart w:id="83" w:name="_Toc149204832"/>
      <w:bookmarkStart w:id="84" w:name="_Toc149206713"/>
    </w:p>
    <w:p>
      <w:pPr>
        <w:pStyle w:val="223"/>
        <w:numPr>
          <w:numId w:val="0"/>
        </w:numPr>
        <w:ind w:leftChars="-200" w:firstLine="840" w:firstLineChars="400"/>
        <w:rPr>
          <w:rFonts w:ascii="黑体" w:hAnsi="黑体" w:eastAsia="黑体"/>
        </w:rPr>
      </w:pPr>
      <w:r>
        <w:rPr>
          <w:rFonts w:hint="eastAsia" w:ascii="黑体" w:hAnsi="黑体" w:eastAsia="黑体"/>
        </w:rPr>
        <w:t>老年客户群体</w:t>
      </w:r>
      <w:r>
        <w:rPr>
          <w:rFonts w:ascii="黑体" w:hAnsi="黑体" w:eastAsia="黑体"/>
        </w:rPr>
        <w:t xml:space="preserve"> elderly customer</w:t>
      </w:r>
      <w:bookmarkEnd w:id="79"/>
      <w:bookmarkEnd w:id="80"/>
      <w:bookmarkEnd w:id="81"/>
      <w:bookmarkEnd w:id="82"/>
      <w:bookmarkEnd w:id="83"/>
      <w:bookmarkEnd w:id="84"/>
    </w:p>
    <w:p>
      <w:pPr>
        <w:pStyle w:val="56"/>
        <w:ind w:firstLine="420"/>
        <w:rPr>
          <w:rFonts w:hAnsi="宋体" w:cs="宋体"/>
        </w:rPr>
      </w:pPr>
      <w:r>
        <w:rPr>
          <w:rFonts w:hint="eastAsia" w:hAnsi="宋体" w:cs="宋体"/>
        </w:rPr>
        <w:t>已与银行机构建立业务关系的老年客户和可能与银行机构建立业务关系的潜在老年客户群体。</w:t>
      </w:r>
    </w:p>
    <w:p>
      <w:pPr>
        <w:pStyle w:val="179"/>
        <w:numPr>
          <w:ilvl w:val="0"/>
          <w:numId w:val="0"/>
        </w:numPr>
        <w:ind w:left="363"/>
        <w:rPr>
          <w:rFonts w:hAnsi="宋体" w:cs="宋体"/>
          <w:sz w:val="21"/>
          <w:szCs w:val="20"/>
        </w:rPr>
      </w:pPr>
      <w:r>
        <w:rPr>
          <w:rFonts w:hint="eastAsia" w:hAnsi="宋体" w:cs="宋体"/>
          <w:sz w:val="21"/>
          <w:szCs w:val="20"/>
        </w:rPr>
        <w:t>注：年龄在60周岁以上的老年客户同时具有以下一项及多项特点。</w:t>
      </w:r>
    </w:p>
    <w:p>
      <w:pPr>
        <w:pStyle w:val="132"/>
        <w:rPr>
          <w:sz w:val="18"/>
          <w:szCs w:val="18"/>
        </w:rPr>
      </w:pPr>
      <w:r>
        <w:rPr>
          <w:rFonts w:hint="eastAsia"/>
          <w:sz w:val="18"/>
          <w:szCs w:val="18"/>
        </w:rPr>
        <w:t>在视觉、听觉、行动等方面能力明显下降，反应迟缓。</w:t>
      </w:r>
    </w:p>
    <w:p>
      <w:pPr>
        <w:pStyle w:val="132"/>
        <w:rPr>
          <w:sz w:val="18"/>
          <w:szCs w:val="18"/>
        </w:rPr>
      </w:pPr>
      <w:r>
        <w:rPr>
          <w:rFonts w:hint="eastAsia"/>
          <w:sz w:val="18"/>
          <w:szCs w:val="18"/>
        </w:rPr>
        <w:t xml:space="preserve">无法使用数字化金融服务，或数字化金融服务使用能力较弱。 </w:t>
      </w:r>
    </w:p>
    <w:p>
      <w:pPr>
        <w:pStyle w:val="132"/>
        <w:rPr>
          <w:sz w:val="18"/>
          <w:szCs w:val="18"/>
        </w:rPr>
      </w:pPr>
      <w:r>
        <w:rPr>
          <w:rFonts w:hint="eastAsia"/>
          <w:sz w:val="18"/>
          <w:szCs w:val="18"/>
        </w:rPr>
        <w:t>其他有关文件的具体要求。</w:t>
      </w:r>
    </w:p>
    <w:p>
      <w:pPr>
        <w:pStyle w:val="223"/>
        <w:ind w:left="420" w:hanging="420" w:hangingChars="200"/>
        <w:rPr>
          <w:rFonts w:ascii="黑体" w:hAnsi="黑体" w:eastAsia="黑体"/>
        </w:rPr>
      </w:pPr>
      <w:bookmarkStart w:id="85" w:name="_Toc149205380"/>
      <w:bookmarkStart w:id="86" w:name="_Toc149204978"/>
      <w:bookmarkStart w:id="87" w:name="_Toc149206714"/>
      <w:bookmarkStart w:id="88" w:name="_Toc149205026"/>
      <w:bookmarkStart w:id="89" w:name="_Toc149205410"/>
      <w:bookmarkStart w:id="90" w:name="_Toc149204833"/>
    </w:p>
    <w:p>
      <w:pPr>
        <w:pStyle w:val="223"/>
        <w:numPr>
          <w:numId w:val="0"/>
        </w:numPr>
        <w:ind w:leftChars="-200" w:firstLine="840" w:firstLineChars="400"/>
        <w:rPr>
          <w:rFonts w:ascii="黑体" w:hAnsi="黑体" w:eastAsia="黑体"/>
        </w:rPr>
      </w:pPr>
      <w:r>
        <w:rPr>
          <w:rFonts w:hint="eastAsia" w:ascii="黑体" w:hAnsi="黑体" w:eastAsia="黑体"/>
        </w:rPr>
        <w:t xml:space="preserve">移动展业终端 </w:t>
      </w:r>
      <w:r>
        <w:rPr>
          <w:rFonts w:ascii="黑体" w:hAnsi="黑体" w:eastAsia="黑体"/>
        </w:rPr>
        <w:t>mobile exhibition terminal</w:t>
      </w:r>
      <w:bookmarkEnd w:id="85"/>
      <w:bookmarkEnd w:id="86"/>
      <w:bookmarkEnd w:id="87"/>
      <w:bookmarkEnd w:id="88"/>
      <w:bookmarkEnd w:id="89"/>
      <w:bookmarkEnd w:id="90"/>
    </w:p>
    <w:p>
      <w:pPr>
        <w:pStyle w:val="56"/>
        <w:ind w:firstLine="420"/>
        <w:rPr>
          <w:rFonts w:hAnsi="宋体" w:cs="宋体"/>
        </w:rPr>
      </w:pPr>
      <w:r>
        <w:rPr>
          <w:rFonts w:hint="eastAsia" w:hAnsi="宋体" w:cs="宋体"/>
        </w:rPr>
        <w:t>便捷式银行业务终端，可脱离银行营业网点办理发卡、理财、信息变更等金融业务。移动展业终端支持面对面办理业务，可弥补电话银行、手机银行、网上银行等在线渠道办理的不足，满足特殊客户对金融服务的即时需求。</w:t>
      </w:r>
    </w:p>
    <w:p>
      <w:pPr>
        <w:pStyle w:val="223"/>
        <w:ind w:left="420" w:hanging="420" w:hangingChars="200"/>
        <w:rPr>
          <w:rFonts w:ascii="黑体" w:hAnsi="黑体" w:eastAsia="黑体"/>
        </w:rPr>
      </w:pPr>
      <w:bookmarkStart w:id="91" w:name="_Toc149205027"/>
      <w:bookmarkStart w:id="92" w:name="_Toc149206715"/>
      <w:bookmarkStart w:id="93" w:name="_Toc149205411"/>
      <w:bookmarkStart w:id="94" w:name="_Toc149204834"/>
      <w:bookmarkStart w:id="95" w:name="_Toc149204979"/>
      <w:bookmarkStart w:id="96" w:name="_Toc149205381"/>
    </w:p>
    <w:p>
      <w:pPr>
        <w:pStyle w:val="223"/>
        <w:numPr>
          <w:numId w:val="0"/>
        </w:numPr>
        <w:ind w:leftChars="-200" w:firstLine="840" w:firstLineChars="400"/>
        <w:rPr>
          <w:rFonts w:ascii="黑体" w:hAnsi="黑体" w:eastAsia="黑体"/>
        </w:rPr>
      </w:pPr>
      <w:r>
        <w:rPr>
          <w:rFonts w:hint="eastAsia" w:ascii="黑体" w:hAnsi="黑体" w:eastAsia="黑体"/>
        </w:rPr>
        <w:t>智能化设备</w:t>
      </w:r>
      <w:r>
        <w:rPr>
          <w:rFonts w:ascii="黑体" w:hAnsi="黑体" w:eastAsia="黑体"/>
        </w:rPr>
        <w:t>intelligent  devices</w:t>
      </w:r>
      <w:bookmarkEnd w:id="91"/>
      <w:bookmarkEnd w:id="92"/>
      <w:bookmarkEnd w:id="93"/>
      <w:bookmarkEnd w:id="94"/>
      <w:bookmarkEnd w:id="95"/>
      <w:bookmarkEnd w:id="96"/>
    </w:p>
    <w:p>
      <w:pPr>
        <w:pStyle w:val="56"/>
        <w:ind w:firstLine="420"/>
        <w:rPr>
          <w:rFonts w:hAnsi="宋体" w:cs="宋体"/>
        </w:rPr>
      </w:pPr>
      <w:r>
        <w:rPr>
          <w:rFonts w:hint="eastAsia" w:hAnsi="宋体" w:cs="宋体"/>
        </w:rPr>
        <w:t>面向公众金融服务，可提供自助或远程人工办理的电子设备。智能化设备不仅能实现传统自助银行的存款和转账功能，部分设备可提供开户、办卡等日常金融服务。</w:t>
      </w:r>
    </w:p>
    <w:p>
      <w:pPr>
        <w:pStyle w:val="223"/>
        <w:ind w:left="420" w:hanging="420" w:hangingChars="200"/>
        <w:rPr>
          <w:rFonts w:ascii="黑体" w:hAnsi="黑体" w:eastAsia="黑体"/>
        </w:rPr>
      </w:pPr>
      <w:bookmarkStart w:id="97" w:name="_Toc149204835"/>
      <w:bookmarkStart w:id="98" w:name="_Toc149205028"/>
      <w:bookmarkStart w:id="99" w:name="_Toc149206716"/>
      <w:bookmarkStart w:id="100" w:name="_Toc149204980"/>
      <w:bookmarkStart w:id="101" w:name="_Toc149205382"/>
      <w:bookmarkStart w:id="102" w:name="_Toc149205412"/>
    </w:p>
    <w:p>
      <w:pPr>
        <w:pStyle w:val="223"/>
        <w:numPr>
          <w:numId w:val="0"/>
        </w:numPr>
        <w:ind w:leftChars="-200" w:firstLine="840" w:firstLineChars="400"/>
        <w:rPr>
          <w:rFonts w:ascii="黑体" w:hAnsi="黑体" w:eastAsia="黑体"/>
        </w:rPr>
      </w:pPr>
      <w:r>
        <w:rPr>
          <w:rFonts w:hint="eastAsia" w:ascii="黑体" w:hAnsi="黑体" w:eastAsia="黑体"/>
        </w:rPr>
        <w:t>移动支付</w:t>
      </w:r>
      <w:r>
        <w:rPr>
          <w:rFonts w:ascii="黑体" w:hAnsi="黑体" w:eastAsia="黑体"/>
        </w:rPr>
        <w:t>mobile payment</w:t>
      </w:r>
      <w:bookmarkEnd w:id="97"/>
      <w:bookmarkEnd w:id="98"/>
      <w:bookmarkEnd w:id="99"/>
      <w:bookmarkEnd w:id="100"/>
      <w:bookmarkEnd w:id="101"/>
      <w:bookmarkEnd w:id="102"/>
    </w:p>
    <w:p>
      <w:pPr>
        <w:pStyle w:val="56"/>
        <w:ind w:firstLine="420"/>
        <w:rPr>
          <w:rFonts w:hAnsi="宋体" w:cs="宋体"/>
          <w:color w:val="FF0000"/>
        </w:rPr>
      </w:pPr>
      <w:r>
        <w:rPr>
          <w:rFonts w:hint="eastAsia" w:hAnsi="宋体" w:cs="宋体"/>
        </w:rPr>
        <w:t>允许用户使用移动终端（如手机、智能手表等）对所消费的商品或服务进行账务支付的一种服务方式，主要分为近场支付和在线支付两种。近场支付是指通过实体受理终端在交易现场以联机或脱机方式完成交易处理的支付方式；在线支付是指移动终端通过无线通信网络接入，直接与后台服务器进行交互完成交易处理的支付方式。数字人民币业务处理流程参照移动支付业务办理。</w:t>
      </w:r>
    </w:p>
    <w:p>
      <w:pPr>
        <w:pStyle w:val="223"/>
        <w:ind w:left="420" w:hanging="420" w:hangingChars="200"/>
        <w:rPr>
          <w:rFonts w:ascii="黑体" w:hAnsi="黑体" w:eastAsia="黑体"/>
        </w:rPr>
      </w:pPr>
      <w:bookmarkStart w:id="103" w:name="_Toc149205029"/>
      <w:bookmarkStart w:id="104" w:name="_Toc149205413"/>
      <w:bookmarkStart w:id="105" w:name="_Toc149204836"/>
      <w:bookmarkStart w:id="106" w:name="_Toc149206717"/>
      <w:bookmarkStart w:id="107" w:name="_Toc149204981"/>
      <w:bookmarkStart w:id="108" w:name="_Toc149205383"/>
    </w:p>
    <w:p>
      <w:pPr>
        <w:pStyle w:val="223"/>
        <w:numPr>
          <w:numId w:val="0"/>
        </w:numPr>
        <w:ind w:leftChars="-200" w:firstLine="840" w:firstLineChars="400"/>
        <w:rPr>
          <w:rFonts w:ascii="黑体" w:hAnsi="黑体" w:eastAsia="黑体"/>
        </w:rPr>
      </w:pPr>
      <w:r>
        <w:rPr>
          <w:rFonts w:hint="eastAsia" w:ascii="黑体" w:hAnsi="黑体" w:eastAsia="黑体"/>
        </w:rPr>
        <w:t>最小必要原则</w:t>
      </w:r>
      <w:r>
        <w:rPr>
          <w:rFonts w:ascii="黑体" w:hAnsi="黑体" w:eastAsia="黑体"/>
        </w:rPr>
        <w:t>principle of least necessity</w:t>
      </w:r>
      <w:bookmarkEnd w:id="103"/>
      <w:bookmarkEnd w:id="104"/>
      <w:bookmarkEnd w:id="105"/>
      <w:bookmarkEnd w:id="106"/>
      <w:bookmarkEnd w:id="107"/>
      <w:bookmarkEnd w:id="108"/>
    </w:p>
    <w:p>
      <w:pPr>
        <w:pStyle w:val="56"/>
        <w:ind w:firstLine="420"/>
        <w:rPr>
          <w:rFonts w:hAnsi="宋体" w:cs="宋体"/>
        </w:rPr>
      </w:pPr>
      <w:r>
        <w:rPr>
          <w:rFonts w:hint="eastAsia" w:hAnsi="宋体" w:cs="宋体"/>
        </w:rPr>
        <w:t>“最小必要”要求从事APP个人信息处理活动，应当具有明确合理的控制，不得从事超出用户同意范围或者与服务场景无关的个人信息处理活动。</w:t>
      </w:r>
    </w:p>
    <w:p>
      <w:pPr>
        <w:pStyle w:val="223"/>
        <w:ind w:left="420" w:hanging="420" w:hangingChars="200"/>
        <w:rPr>
          <w:rFonts w:ascii="黑体" w:hAnsi="黑体" w:eastAsia="黑体"/>
        </w:rPr>
      </w:pPr>
      <w:bookmarkStart w:id="109" w:name="_Toc149205384"/>
      <w:bookmarkStart w:id="110" w:name="_Toc149204837"/>
      <w:bookmarkStart w:id="111" w:name="_Toc149204982"/>
      <w:bookmarkStart w:id="112" w:name="_Toc149205030"/>
      <w:bookmarkStart w:id="113" w:name="_Toc149206718"/>
      <w:bookmarkStart w:id="114" w:name="_Toc149205414"/>
    </w:p>
    <w:p>
      <w:pPr>
        <w:pStyle w:val="223"/>
        <w:numPr>
          <w:numId w:val="0"/>
        </w:numPr>
        <w:ind w:leftChars="-200" w:firstLine="840" w:firstLineChars="400"/>
        <w:rPr>
          <w:rFonts w:ascii="黑体" w:hAnsi="黑体" w:eastAsia="黑体"/>
        </w:rPr>
      </w:pPr>
      <w:r>
        <w:rPr>
          <w:rFonts w:hint="eastAsia" w:ascii="黑体" w:hAnsi="黑体" w:eastAsia="黑体"/>
        </w:rPr>
        <w:t>受理终端</w:t>
      </w:r>
      <w:r>
        <w:rPr>
          <w:rFonts w:ascii="黑体" w:hAnsi="黑体" w:eastAsia="黑体"/>
        </w:rPr>
        <w:t>acceptance terminal</w:t>
      </w:r>
      <w:bookmarkEnd w:id="109"/>
      <w:bookmarkEnd w:id="110"/>
      <w:bookmarkEnd w:id="111"/>
      <w:bookmarkEnd w:id="112"/>
      <w:bookmarkEnd w:id="113"/>
      <w:bookmarkEnd w:id="114"/>
    </w:p>
    <w:p>
      <w:pPr>
        <w:pStyle w:val="56"/>
        <w:ind w:firstLine="420"/>
        <w:rPr>
          <w:rFonts w:hAnsi="宋体" w:cs="宋体"/>
        </w:rPr>
      </w:pPr>
      <w:r>
        <w:rPr>
          <w:rFonts w:hint="eastAsia" w:hAnsi="宋体" w:cs="宋体"/>
        </w:rPr>
        <w:t>参与移动支付交易的受理机具，包括智能收银机、扫码盒子、智能POS机、MIS等。</w:t>
      </w:r>
    </w:p>
    <w:p>
      <w:pPr>
        <w:pStyle w:val="223"/>
        <w:ind w:left="420" w:hanging="420" w:hangingChars="200"/>
        <w:rPr>
          <w:rFonts w:ascii="黑体" w:hAnsi="黑体" w:eastAsia="黑体"/>
        </w:rPr>
      </w:pPr>
      <w:bookmarkStart w:id="115" w:name="_Toc149205385"/>
      <w:bookmarkStart w:id="116" w:name="_Toc149204983"/>
      <w:bookmarkStart w:id="117" w:name="_Toc149204838"/>
      <w:bookmarkStart w:id="118" w:name="_Toc149205031"/>
      <w:bookmarkStart w:id="119" w:name="_Toc149206719"/>
      <w:bookmarkStart w:id="120" w:name="_Toc149205415"/>
    </w:p>
    <w:p>
      <w:pPr>
        <w:pStyle w:val="223"/>
        <w:numPr>
          <w:numId w:val="0"/>
        </w:numPr>
        <w:ind w:leftChars="-200" w:firstLine="840" w:firstLineChars="400"/>
        <w:rPr>
          <w:rFonts w:ascii="黑体" w:hAnsi="黑体" w:eastAsia="黑体"/>
        </w:rPr>
      </w:pPr>
      <w:r>
        <w:rPr>
          <w:rFonts w:hint="eastAsia" w:ascii="黑体" w:hAnsi="黑体" w:eastAsia="黑体"/>
        </w:rPr>
        <w:t>农村普惠金融服务点</w:t>
      </w:r>
      <w:r>
        <w:rPr>
          <w:rFonts w:ascii="黑体" w:hAnsi="黑体" w:eastAsia="黑体"/>
        </w:rPr>
        <w:t>financial inclusion service point in rural area</w:t>
      </w:r>
      <w:bookmarkEnd w:id="115"/>
      <w:bookmarkEnd w:id="116"/>
      <w:bookmarkEnd w:id="117"/>
      <w:bookmarkEnd w:id="118"/>
      <w:bookmarkEnd w:id="119"/>
      <w:bookmarkEnd w:id="120"/>
      <w:bookmarkStart w:id="121" w:name="_Toc149205032"/>
      <w:bookmarkEnd w:id="121"/>
      <w:bookmarkStart w:id="122" w:name="_Toc149204984"/>
      <w:bookmarkEnd w:id="122"/>
    </w:p>
    <w:p>
      <w:pPr>
        <w:ind w:firstLine="420" w:firstLineChars="200"/>
        <w:jc w:val="left"/>
        <w:rPr>
          <w:rFonts w:ascii="宋体" w:hAnsi="宋体" w:cs="宋体"/>
          <w:kern w:val="0"/>
          <w:szCs w:val="20"/>
        </w:rPr>
      </w:pPr>
      <w:r>
        <w:rPr>
          <w:rFonts w:hint="eastAsia" w:ascii="宋体" w:hAnsi="宋体" w:cs="宋体"/>
          <w:kern w:val="0"/>
          <w:szCs w:val="20"/>
        </w:rPr>
        <w:t>通过涉农金融机构配备的具有受理银行卡、存折、条码支付等功能的金融服务终端，统一服务环境、技术规范等，为所在地农村居民提供助农取款、现金汇款、转账汇款、代理缴费、查询等基础支付服务，以及有关金融管理部门许可的其他金融服务的商户或组织。</w:t>
      </w:r>
    </w:p>
    <w:p>
      <w:pPr>
        <w:ind w:firstLine="420" w:firstLineChars="200"/>
        <w:jc w:val="left"/>
        <w:rPr>
          <w:rFonts w:ascii="宋体" w:hAnsi="宋体" w:cs="宋体"/>
          <w:kern w:val="0"/>
          <w:szCs w:val="20"/>
        </w:rPr>
      </w:pPr>
      <w:r>
        <w:rPr>
          <w:rFonts w:hint="eastAsia" w:ascii="宋体" w:hAnsi="宋体" w:cs="宋体"/>
          <w:kern w:val="0"/>
          <w:szCs w:val="20"/>
        </w:rPr>
        <w:t>注：农村普惠金融服务点主要类型有农村普惠金融支付服务点、农村普惠金融综合服务点等。</w:t>
      </w:r>
    </w:p>
    <w:p>
      <w:pPr>
        <w:ind w:firstLine="420" w:firstLineChars="200"/>
        <w:jc w:val="left"/>
        <w:rPr>
          <w:rFonts w:ascii="宋体" w:hAnsi="宋体" w:cs="宋体"/>
          <w:kern w:val="0"/>
          <w:szCs w:val="20"/>
        </w:rPr>
      </w:pPr>
      <w:r>
        <w:rPr>
          <w:rFonts w:hint="eastAsia" w:ascii="宋体" w:hAnsi="宋体" w:cs="宋体"/>
          <w:kern w:val="0"/>
          <w:szCs w:val="20"/>
        </w:rPr>
        <w:t>[来源：JR/T 0517-2018 3.4]</w:t>
      </w:r>
    </w:p>
    <w:p>
      <w:pPr>
        <w:pStyle w:val="104"/>
        <w:spacing w:before="312" w:after="312"/>
      </w:pPr>
      <w:bookmarkStart w:id="123" w:name="_Toc151369773"/>
      <w:bookmarkStart w:id="124" w:name="_Toc151280196"/>
      <w:bookmarkStart w:id="125" w:name="_Toc151126820"/>
      <w:bookmarkStart w:id="126" w:name="_Toc149206720"/>
      <w:bookmarkStart w:id="127" w:name="_Toc149205386"/>
      <w:bookmarkStart w:id="128" w:name="_Toc149205416"/>
      <w:r>
        <w:rPr>
          <w:rFonts w:hint="eastAsia"/>
        </w:rPr>
        <w:t>银行营业网点适老化改造</w:t>
      </w:r>
      <w:bookmarkEnd w:id="123"/>
      <w:bookmarkEnd w:id="124"/>
      <w:bookmarkEnd w:id="125"/>
      <w:bookmarkEnd w:id="126"/>
      <w:bookmarkEnd w:id="127"/>
      <w:bookmarkEnd w:id="128"/>
    </w:p>
    <w:p>
      <w:pPr>
        <w:pStyle w:val="105"/>
        <w:spacing w:before="156" w:after="156"/>
      </w:pPr>
      <w:bookmarkStart w:id="129" w:name="_Toc151126821"/>
      <w:bookmarkStart w:id="130" w:name="_Toc151280197"/>
      <w:r>
        <w:rPr>
          <w:rFonts w:hint="eastAsia"/>
        </w:rPr>
        <w:t>总体要求</w:t>
      </w:r>
      <w:bookmarkEnd w:id="129"/>
      <w:bookmarkEnd w:id="130"/>
    </w:p>
    <w:p>
      <w:pPr>
        <w:pStyle w:val="55"/>
        <w:ind w:firstLine="420"/>
      </w:pPr>
      <w:r>
        <w:rPr>
          <w:rFonts w:hint="eastAsia"/>
        </w:rPr>
        <w:t>银行营业网点应在符合GB/T32320规定的前提下，根据网点客户分布情况进行适老化改造。</w:t>
      </w:r>
    </w:p>
    <w:p>
      <w:pPr>
        <w:pStyle w:val="105"/>
        <w:spacing w:before="156" w:after="156"/>
      </w:pPr>
      <w:bookmarkStart w:id="131" w:name="_Toc149205387"/>
      <w:bookmarkStart w:id="132" w:name="_Toc149206721"/>
      <w:bookmarkStart w:id="133" w:name="_Toc151280198"/>
      <w:bookmarkStart w:id="134" w:name="_Toc151126822"/>
      <w:bookmarkStart w:id="135" w:name="_Toc149205417"/>
      <w:r>
        <w:rPr>
          <w:rFonts w:hint="eastAsia"/>
        </w:rPr>
        <w:t>金融服务绿色通道</w:t>
      </w:r>
      <w:bookmarkEnd w:id="131"/>
      <w:bookmarkEnd w:id="132"/>
      <w:bookmarkEnd w:id="133"/>
      <w:bookmarkEnd w:id="134"/>
      <w:bookmarkEnd w:id="135"/>
    </w:p>
    <w:p>
      <w:pPr>
        <w:pStyle w:val="65"/>
        <w:spacing w:before="156" w:after="156"/>
        <w:rPr>
          <w:rFonts w:ascii="宋体" w:hAnsi="宋体" w:eastAsia="宋体" w:cs="宋体"/>
        </w:rPr>
      </w:pPr>
      <w:bookmarkStart w:id="136" w:name="_Toc149205388"/>
      <w:r>
        <w:rPr>
          <w:rFonts w:hint="eastAsia" w:ascii="宋体" w:hAnsi="宋体" w:eastAsia="宋体" w:cs="宋体"/>
        </w:rPr>
        <w:t>银行营业网点开通老年金融业务办理“绿色通道”，开设通道后需有明确的标识，各种标识宜规范统一，无污渍、无破损，以汉字为主，特殊情况可加注其他语言。</w:t>
      </w:r>
      <w:bookmarkEnd w:id="136"/>
    </w:p>
    <w:p>
      <w:pPr>
        <w:pStyle w:val="65"/>
        <w:spacing w:before="156" w:after="156"/>
        <w:rPr>
          <w:rFonts w:ascii="宋体" w:hAnsi="宋体" w:eastAsia="宋体" w:cs="宋体"/>
        </w:rPr>
      </w:pPr>
      <w:bookmarkStart w:id="137" w:name="_Toc149205389"/>
      <w:r>
        <w:rPr>
          <w:rFonts w:hint="eastAsia" w:ascii="宋体" w:hAnsi="宋体" w:eastAsia="宋体" w:cs="宋体"/>
        </w:rPr>
        <w:t>银行营业网点提供老花镜、爱心伞、放大镜、清凉油、书写交流板、老人专座等适老化设施。</w:t>
      </w:r>
      <w:bookmarkEnd w:id="137"/>
    </w:p>
    <w:p>
      <w:pPr>
        <w:pStyle w:val="65"/>
        <w:spacing w:before="156" w:after="156"/>
        <w:rPr>
          <w:rFonts w:ascii="宋体" w:hAnsi="宋体" w:eastAsia="宋体" w:cs="宋体"/>
        </w:rPr>
      </w:pPr>
      <w:bookmarkStart w:id="138" w:name="_Toc149205390"/>
      <w:r>
        <w:rPr>
          <w:rFonts w:hint="eastAsia" w:ascii="宋体" w:hAnsi="宋体" w:eastAsia="宋体" w:cs="宋体"/>
        </w:rPr>
        <w:t>银行营业网点宜加强无障碍设施建设，为老年客户提供轮椅、拐杖等服务，保障行动不便的老年客户自如进出营业机构。营业机构门前有台阶的，宜设置无障碍通道，未设置无障碍通道的，应公示求助电话或设置呼叫铃。</w:t>
      </w:r>
      <w:bookmarkEnd w:id="138"/>
    </w:p>
    <w:p>
      <w:pPr>
        <w:pStyle w:val="65"/>
        <w:spacing w:before="156" w:after="156"/>
        <w:rPr>
          <w:rFonts w:ascii="宋体" w:hAnsi="宋体" w:eastAsia="宋体" w:cs="宋体"/>
        </w:rPr>
      </w:pPr>
      <w:bookmarkStart w:id="139" w:name="_Toc149205391"/>
      <w:r>
        <w:rPr>
          <w:rFonts w:hint="eastAsia" w:ascii="宋体" w:hAnsi="宋体" w:eastAsia="宋体" w:cs="宋体"/>
        </w:rPr>
        <w:t>鼓励向老年客户开放卫生间，并在卫生间加装无障碍设施。</w:t>
      </w:r>
      <w:bookmarkEnd w:id="139"/>
    </w:p>
    <w:p>
      <w:pPr>
        <w:pStyle w:val="65"/>
        <w:spacing w:before="156" w:after="156"/>
        <w:rPr>
          <w:rFonts w:ascii="宋体" w:hAnsi="宋体" w:eastAsia="宋体" w:cs="宋体"/>
        </w:rPr>
      </w:pPr>
      <w:bookmarkStart w:id="140" w:name="_Toc149205392"/>
      <w:r>
        <w:rPr>
          <w:rFonts w:hint="eastAsia" w:ascii="宋体" w:hAnsi="宋体" w:eastAsia="宋体" w:cs="宋体"/>
        </w:rPr>
        <w:t>适当提高营业机构大厅的灯光亮度，特别是填单区、柜面台面及自主设备密码键盘位置。</w:t>
      </w:r>
      <w:bookmarkEnd w:id="140"/>
    </w:p>
    <w:p>
      <w:pPr>
        <w:pStyle w:val="65"/>
        <w:spacing w:before="156" w:after="156"/>
        <w:rPr>
          <w:rFonts w:ascii="宋体" w:hAnsi="宋体" w:eastAsia="宋体" w:cs="宋体"/>
        </w:rPr>
      </w:pPr>
      <w:bookmarkStart w:id="141" w:name="_Toc149205393"/>
      <w:r>
        <w:rPr>
          <w:rFonts w:hint="eastAsia" w:ascii="宋体" w:hAnsi="宋体" w:eastAsia="宋体" w:cs="宋体"/>
        </w:rPr>
        <w:t>营造适老化服务环境建设环境氛围，通过临街、入口、厅堂、柜面等多个维度对各项老年客群服务、权益和活动进行宣传，向老年人展示各项适老化产品。</w:t>
      </w:r>
      <w:bookmarkEnd w:id="141"/>
    </w:p>
    <w:p>
      <w:pPr>
        <w:pStyle w:val="65"/>
        <w:spacing w:before="156" w:after="156"/>
        <w:rPr>
          <w:rFonts w:ascii="宋体" w:hAnsi="宋体" w:eastAsia="宋体" w:cs="宋体"/>
        </w:rPr>
      </w:pPr>
      <w:bookmarkStart w:id="142" w:name="_Toc149205394"/>
      <w:r>
        <w:rPr>
          <w:rFonts w:hint="eastAsia" w:ascii="宋体" w:hAnsi="宋体" w:eastAsia="宋体" w:cs="宋体"/>
        </w:rPr>
        <w:t>老年客户进厅堂办理业务，业务导办人员应主动进行引导和协助，适当延长老年人叫号后柜面等待的时间，提高老年客户柜面服务体验。</w:t>
      </w:r>
      <w:bookmarkEnd w:id="142"/>
    </w:p>
    <w:p>
      <w:pPr>
        <w:pStyle w:val="65"/>
        <w:spacing w:before="156" w:after="156"/>
        <w:rPr>
          <w:rFonts w:ascii="宋体" w:hAnsi="宋体" w:eastAsia="宋体" w:cs="宋体"/>
        </w:rPr>
      </w:pPr>
      <w:bookmarkStart w:id="143" w:name="_Toc149205395"/>
      <w:r>
        <w:rPr>
          <w:rFonts w:hint="eastAsia" w:ascii="宋体" w:hAnsi="宋体" w:eastAsia="宋体" w:cs="宋体"/>
        </w:rPr>
        <w:t>提供预约服务，优先为有特殊需要的老年客户办理业务。</w:t>
      </w:r>
      <w:bookmarkEnd w:id="143"/>
    </w:p>
    <w:p>
      <w:pPr>
        <w:pStyle w:val="65"/>
        <w:spacing w:before="156" w:after="156"/>
        <w:rPr>
          <w:rFonts w:ascii="宋体" w:hAnsi="宋体" w:eastAsia="宋体" w:cs="宋体"/>
        </w:rPr>
      </w:pPr>
      <w:r>
        <w:rPr>
          <w:rFonts w:hint="eastAsia" w:ascii="宋体" w:hAnsi="宋体" w:eastAsia="宋体" w:cs="宋体"/>
        </w:rPr>
        <w:t>特殊情况可备案老年客户家人联络信息，对高龄、重病、伤残等行动不便的客户，应依据相关规定，坚持特事特办、急事急办原则，加大志愿者队伍建设，提供上门服务、远程视频等安全、便利的方式办理相关业务，并以多种渠道对外公示老年客户支付结算业务办理保障措施。</w:t>
      </w:r>
    </w:p>
    <w:p>
      <w:pPr>
        <w:pStyle w:val="65"/>
        <w:spacing w:before="156" w:after="156"/>
        <w:rPr>
          <w:rFonts w:ascii="宋体" w:hAnsi="宋体" w:eastAsia="宋体" w:cs="宋体"/>
        </w:rPr>
      </w:pPr>
      <w:r>
        <w:rPr>
          <w:rFonts w:hint="eastAsia" w:ascii="宋体" w:hAnsi="宋体" w:eastAsia="宋体" w:cs="宋体"/>
        </w:rPr>
        <w:t>上门服务的时间宜根据客户具体需求给予包含具体上门时间和业务办理基本流程的明确答复。客户提出需求到实际上门时间建议不超过7个工作日。在面对老年客户群体提供上门服务时，应确保本人及配偶、本人子女或其他合法代理人在场的情况下办理业务。针对独居老人提供上门服务时，可联合社区工作人员共同协助办理业务。</w:t>
      </w:r>
    </w:p>
    <w:p>
      <w:pPr>
        <w:pStyle w:val="65"/>
        <w:spacing w:before="156" w:after="156"/>
        <w:rPr>
          <w:rFonts w:ascii="宋体" w:hAnsi="宋体" w:eastAsia="宋体" w:cs="宋体"/>
        </w:rPr>
      </w:pPr>
      <w:r>
        <w:rPr>
          <w:rFonts w:hint="eastAsia" w:ascii="宋体" w:hAnsi="宋体" w:eastAsia="宋体" w:cs="宋体"/>
        </w:rPr>
        <w:t>上门服务的种类包括但不限于：开卡、换卡申请、个人网银开通、手机银行转账开通、缴费权限开通、客户证件到期日修改等。上门服务应保证规范办理及风险可控。</w:t>
      </w:r>
    </w:p>
    <w:p>
      <w:pPr>
        <w:pStyle w:val="105"/>
        <w:spacing w:before="156" w:after="156"/>
      </w:pPr>
      <w:bookmarkStart w:id="144" w:name="_Toc149206722"/>
      <w:bookmarkStart w:id="145" w:name="_Toc151280199"/>
      <w:bookmarkStart w:id="146" w:name="_Toc151126823"/>
      <w:r>
        <w:rPr>
          <w:rFonts w:hint="eastAsia"/>
        </w:rPr>
        <w:t>业务办理向导服务</w:t>
      </w:r>
      <w:bookmarkEnd w:id="144"/>
      <w:bookmarkEnd w:id="145"/>
      <w:bookmarkEnd w:id="146"/>
    </w:p>
    <w:p>
      <w:pPr>
        <w:pStyle w:val="65"/>
        <w:spacing w:before="156" w:after="156"/>
        <w:rPr>
          <w:rFonts w:ascii="宋体" w:hAnsi="宋体" w:eastAsia="宋体" w:cs="宋体"/>
        </w:rPr>
      </w:pPr>
      <w:r>
        <w:rPr>
          <w:rFonts w:hint="eastAsia" w:ascii="宋体" w:hAnsi="宋体" w:eastAsia="宋体" w:cs="宋体"/>
        </w:rPr>
        <w:t>尊重老年客户对传统柜面服务方式的选择，对于习惯使用和愿意尝试使用智能化设备的客户宜做好业务指导和帮助，保持与老年客户之间的良好互动，不应表现出不耐烦、推托之词等现象。</w:t>
      </w:r>
    </w:p>
    <w:p>
      <w:pPr>
        <w:pStyle w:val="65"/>
        <w:spacing w:before="156" w:after="156"/>
        <w:rPr>
          <w:rFonts w:ascii="宋体" w:hAnsi="宋体" w:eastAsia="宋体" w:cs="宋体"/>
        </w:rPr>
      </w:pPr>
      <w:r>
        <w:rPr>
          <w:rFonts w:hint="eastAsia" w:ascii="宋体" w:hAnsi="宋体" w:eastAsia="宋体" w:cs="宋体"/>
        </w:rPr>
        <w:t>强化对柜面人员、大堂经理、理财经理的老年服务技能和业务培训，详细解释流程和政策，耐心答复需求和问题，不主动推荐其购买中高风险金融产品。</w:t>
      </w:r>
    </w:p>
    <w:p>
      <w:pPr>
        <w:pStyle w:val="65"/>
        <w:spacing w:before="156" w:after="156"/>
        <w:rPr>
          <w:rFonts w:ascii="宋体" w:hAnsi="宋体" w:eastAsia="宋体" w:cs="宋体"/>
        </w:rPr>
      </w:pPr>
      <w:r>
        <w:rPr>
          <w:rFonts w:hint="eastAsia" w:ascii="宋体" w:hAnsi="宋体" w:eastAsia="宋体" w:cs="宋体"/>
        </w:rPr>
        <w:t>社保卡激活、社保资金发放、养老金领取等老年客户阶段性集中办理的业务，银行营业网点宜采取有效措施，灵活安排人力，减少等待时间，方便老年客户办理。</w:t>
      </w:r>
    </w:p>
    <w:p>
      <w:pPr>
        <w:pStyle w:val="65"/>
        <w:spacing w:before="156" w:after="156"/>
        <w:rPr>
          <w:rFonts w:ascii="宋体" w:hAnsi="宋体" w:eastAsia="宋体" w:cs="宋体"/>
        </w:rPr>
      </w:pPr>
      <w:r>
        <w:rPr>
          <w:rFonts w:hint="eastAsia" w:ascii="宋体" w:hAnsi="宋体" w:eastAsia="宋体" w:cs="宋体"/>
        </w:rPr>
        <w:t>合理安排亲和力强，具有良好心理素质和为客户服务观念的，以及能够使用当地方言进行交流的服务人员为老年客户提供服务。</w:t>
      </w:r>
    </w:p>
    <w:p>
      <w:pPr>
        <w:pStyle w:val="65"/>
        <w:spacing w:before="156" w:after="156"/>
        <w:rPr>
          <w:rFonts w:ascii="宋体" w:hAnsi="宋体" w:eastAsia="宋体" w:cs="宋体"/>
        </w:rPr>
      </w:pPr>
      <w:r>
        <w:rPr>
          <w:rFonts w:hint="eastAsia" w:ascii="宋体" w:hAnsi="宋体" w:eastAsia="宋体" w:cs="宋体"/>
        </w:rPr>
        <w:t>网点人员宜基本了解老人的护理、医学、康养等相关知识，并在接待的时候能够灵活并准确地应用。</w:t>
      </w:r>
    </w:p>
    <w:p>
      <w:pPr>
        <w:pStyle w:val="65"/>
        <w:spacing w:before="156" w:after="156"/>
        <w:rPr>
          <w:rFonts w:ascii="宋体" w:hAnsi="宋体" w:eastAsia="宋体" w:cs="宋体"/>
        </w:rPr>
      </w:pPr>
      <w:r>
        <w:rPr>
          <w:rFonts w:hint="eastAsia" w:ascii="宋体" w:hAnsi="宋体" w:eastAsia="宋体" w:cs="宋体"/>
        </w:rPr>
        <w:t>重点关注老年客户的大额取现、转账等业务，适当了解信息，并请客户二次确认。</w:t>
      </w:r>
    </w:p>
    <w:p>
      <w:pPr>
        <w:pStyle w:val="65"/>
        <w:spacing w:before="156" w:after="156"/>
        <w:rPr>
          <w:rFonts w:ascii="宋体" w:hAnsi="宋体" w:eastAsia="宋体" w:cs="宋体"/>
        </w:rPr>
      </w:pPr>
      <w:r>
        <w:rPr>
          <w:rFonts w:hint="eastAsia" w:ascii="宋体" w:hAnsi="宋体" w:eastAsia="宋体" w:cs="宋体"/>
        </w:rPr>
        <w:t>实行“首问负责制”，不应推诿和搪塞老年客户。</w:t>
      </w:r>
    </w:p>
    <w:p>
      <w:pPr>
        <w:pStyle w:val="105"/>
        <w:spacing w:before="156" w:after="156"/>
      </w:pPr>
      <w:bookmarkStart w:id="147" w:name="_Toc149206723"/>
      <w:bookmarkStart w:id="148" w:name="_Toc151280200"/>
      <w:bookmarkStart w:id="149" w:name="_Toc151126824"/>
      <w:r>
        <w:rPr>
          <w:rFonts w:hint="eastAsia"/>
        </w:rPr>
        <w:t>网点智能化设备</w:t>
      </w:r>
      <w:bookmarkEnd w:id="147"/>
      <w:r>
        <w:rPr>
          <w:rFonts w:hint="eastAsia"/>
        </w:rPr>
        <w:t>服务</w:t>
      </w:r>
      <w:bookmarkEnd w:id="148"/>
      <w:bookmarkEnd w:id="149"/>
    </w:p>
    <w:p>
      <w:pPr>
        <w:pStyle w:val="65"/>
        <w:spacing w:before="156" w:after="156"/>
        <w:rPr>
          <w:rFonts w:ascii="宋体" w:hAnsi="宋体" w:eastAsia="宋体" w:cs="宋体"/>
        </w:rPr>
      </w:pPr>
      <w:r>
        <w:rPr>
          <w:rFonts w:hint="eastAsia" w:ascii="宋体" w:hAnsi="宋体" w:eastAsia="宋体" w:cs="宋体"/>
        </w:rPr>
        <w:t>STM、ATM等智能化服务自助机具，宜具备超大字体、语音提示、老年客户专版等功能，对防范电信网络诈骗做出提示。</w:t>
      </w:r>
    </w:p>
    <w:p>
      <w:pPr>
        <w:pStyle w:val="65"/>
        <w:spacing w:before="156" w:after="156"/>
        <w:rPr>
          <w:rFonts w:ascii="宋体" w:hAnsi="宋体" w:eastAsia="宋体" w:cs="宋体"/>
        </w:rPr>
      </w:pPr>
      <w:r>
        <w:rPr>
          <w:rFonts w:hint="eastAsia" w:ascii="宋体" w:hAnsi="宋体" w:eastAsia="宋体" w:cs="宋体"/>
        </w:rPr>
        <w:t>老年客户办理自助业务时可根据需要专人全程引导办理，提高业务处理效率。</w:t>
      </w:r>
    </w:p>
    <w:p>
      <w:pPr>
        <w:pStyle w:val="65"/>
        <w:spacing w:before="156" w:after="156"/>
        <w:rPr>
          <w:rFonts w:ascii="宋体" w:hAnsi="宋体" w:eastAsia="宋体" w:cs="宋体"/>
        </w:rPr>
      </w:pPr>
      <w:r>
        <w:rPr>
          <w:rFonts w:hint="eastAsia" w:ascii="宋体" w:hAnsi="宋体" w:eastAsia="宋体" w:cs="宋体"/>
        </w:rPr>
        <w:t>自助设备使用过程中，合理调度，缩短老年客户业务等待排队时间。</w:t>
      </w:r>
    </w:p>
    <w:p>
      <w:pPr>
        <w:pStyle w:val="65"/>
        <w:spacing w:before="156" w:after="156"/>
        <w:rPr>
          <w:rFonts w:ascii="宋体" w:hAnsi="宋体" w:eastAsia="宋体" w:cs="宋体"/>
        </w:rPr>
      </w:pPr>
      <w:r>
        <w:rPr>
          <w:rFonts w:hint="eastAsia" w:ascii="宋体" w:hAnsi="宋体" w:eastAsia="宋体" w:cs="宋体"/>
        </w:rPr>
        <w:t xml:space="preserve"> 鼓励升级一体机，提供自动识别功能，切换老年界面。</w:t>
      </w:r>
    </w:p>
    <w:p>
      <w:pPr>
        <w:pStyle w:val="105"/>
        <w:spacing w:before="156" w:after="156"/>
      </w:pPr>
      <w:bookmarkStart w:id="150" w:name="_Toc151126825"/>
      <w:bookmarkStart w:id="151" w:name="_Toc149206724"/>
      <w:bookmarkStart w:id="152" w:name="_Toc151280201"/>
      <w:r>
        <w:rPr>
          <w:rFonts w:hint="eastAsia"/>
        </w:rPr>
        <w:t>网点应急措施</w:t>
      </w:r>
      <w:bookmarkEnd w:id="150"/>
      <w:bookmarkEnd w:id="151"/>
      <w:bookmarkEnd w:id="152"/>
    </w:p>
    <w:p>
      <w:pPr>
        <w:pStyle w:val="65"/>
        <w:spacing w:before="156" w:after="156"/>
        <w:rPr>
          <w:rFonts w:ascii="宋体" w:hAnsi="宋体" w:eastAsia="宋体" w:cs="宋体"/>
        </w:rPr>
      </w:pPr>
      <w:r>
        <w:rPr>
          <w:rFonts w:hint="eastAsia" w:ascii="宋体" w:hAnsi="宋体" w:eastAsia="宋体" w:cs="宋体"/>
        </w:rPr>
        <w:t>强化营业网点突发事件的应急管理，制定应急措施，确保每位员工熟知应急处理流程，至少每半年开展一次针对老年客户服务的演练，有效提高网点员工针对老年特殊群体的应急处理能力。</w:t>
      </w:r>
    </w:p>
    <w:p>
      <w:pPr>
        <w:pStyle w:val="65"/>
        <w:spacing w:before="156" w:after="156"/>
        <w:rPr>
          <w:rFonts w:ascii="宋体" w:hAnsi="宋体" w:eastAsia="宋体" w:cs="宋体"/>
        </w:rPr>
      </w:pPr>
      <w:r>
        <w:rPr>
          <w:rFonts w:hint="eastAsia" w:ascii="宋体" w:hAnsi="宋体" w:eastAsia="宋体" w:cs="宋体"/>
        </w:rPr>
        <w:t>网点员工宜掌握营业机构周边医院、公安、应急救援、社保等公共服务设施情况，需要时为客户提供服务。</w:t>
      </w:r>
    </w:p>
    <w:p>
      <w:pPr>
        <w:pStyle w:val="105"/>
        <w:spacing w:before="156" w:after="156"/>
      </w:pPr>
      <w:bookmarkStart w:id="153" w:name="_Toc151280202"/>
      <w:bookmarkStart w:id="154" w:name="_Toc149206725"/>
      <w:bookmarkStart w:id="155" w:name="_Toc151126826"/>
      <w:r>
        <w:rPr>
          <w:rFonts w:hint="eastAsia"/>
        </w:rPr>
        <w:t>小额现钞服务</w:t>
      </w:r>
      <w:bookmarkEnd w:id="153"/>
      <w:bookmarkEnd w:id="154"/>
      <w:bookmarkEnd w:id="155"/>
    </w:p>
    <w:p>
      <w:pPr>
        <w:pStyle w:val="56"/>
        <w:ind w:firstLine="420"/>
        <w:rPr>
          <w:rFonts w:ascii="黑体" w:hAnsi="黑体" w:eastAsia="黑体"/>
        </w:rPr>
      </w:pPr>
      <w:r>
        <w:rPr>
          <w:rFonts w:hint="eastAsia" w:hAnsi="宋体" w:cs="宋体"/>
        </w:rPr>
        <w:t>网点宜合理配置面额不一的小额现钞，满足老年客户的现金需求。</w:t>
      </w:r>
    </w:p>
    <w:p>
      <w:pPr>
        <w:pStyle w:val="105"/>
        <w:spacing w:before="156" w:after="156"/>
      </w:pPr>
      <w:bookmarkStart w:id="156" w:name="_Toc149206726"/>
      <w:bookmarkStart w:id="157" w:name="_Toc151280203"/>
      <w:bookmarkStart w:id="158" w:name="_Toc151126827"/>
      <w:r>
        <w:rPr>
          <w:rFonts w:hint="eastAsia"/>
        </w:rPr>
        <w:t>存折服务</w:t>
      </w:r>
      <w:bookmarkEnd w:id="156"/>
      <w:bookmarkEnd w:id="157"/>
      <w:bookmarkEnd w:id="158"/>
    </w:p>
    <w:p>
      <w:pPr>
        <w:pStyle w:val="56"/>
        <w:ind w:firstLine="420"/>
        <w:rPr>
          <w:rFonts w:hAnsi="宋体" w:cs="宋体"/>
        </w:rPr>
      </w:pPr>
      <w:r>
        <w:rPr>
          <w:rFonts w:hint="eastAsia" w:hAnsi="宋体" w:cs="宋体"/>
        </w:rPr>
        <w:t>网点可便利化办理、受理存折，提供存折打印等功能，及时为老年人解读存折内容。</w:t>
      </w:r>
    </w:p>
    <w:p>
      <w:pPr>
        <w:pStyle w:val="104"/>
        <w:spacing w:before="312" w:after="312"/>
      </w:pPr>
      <w:bookmarkStart w:id="159" w:name="_Toc151369774"/>
      <w:bookmarkStart w:id="160" w:name="_Toc151126828"/>
      <w:bookmarkStart w:id="161" w:name="_Toc149206727"/>
      <w:bookmarkStart w:id="162" w:name="_Toc151280204"/>
      <w:r>
        <w:rPr>
          <w:rFonts w:hint="eastAsia"/>
        </w:rPr>
        <w:t>移动支付服务</w:t>
      </w:r>
      <w:bookmarkEnd w:id="159"/>
      <w:bookmarkEnd w:id="160"/>
      <w:bookmarkEnd w:id="161"/>
      <w:bookmarkEnd w:id="162"/>
    </w:p>
    <w:p>
      <w:pPr>
        <w:pStyle w:val="105"/>
        <w:spacing w:before="156" w:after="156"/>
      </w:pPr>
      <w:bookmarkStart w:id="163" w:name="_Toc151280205"/>
      <w:bookmarkStart w:id="164" w:name="_Toc151126829"/>
      <w:bookmarkStart w:id="165" w:name="_Toc149206728"/>
      <w:r>
        <w:rPr>
          <w:rFonts w:hint="eastAsia"/>
        </w:rPr>
        <w:t>移动支付产品</w:t>
      </w:r>
      <w:bookmarkEnd w:id="163"/>
      <w:bookmarkEnd w:id="164"/>
      <w:bookmarkEnd w:id="165"/>
    </w:p>
    <w:p>
      <w:pPr>
        <w:pStyle w:val="65"/>
        <w:spacing w:before="156" w:after="156"/>
        <w:rPr>
          <w:rFonts w:ascii="宋体" w:hAnsi="宋体" w:eastAsia="宋体" w:cs="宋体"/>
        </w:rPr>
      </w:pPr>
      <w:r>
        <w:rPr>
          <w:rFonts w:hint="eastAsia" w:ascii="宋体" w:hAnsi="宋体" w:eastAsia="宋体" w:cs="宋体"/>
        </w:rPr>
        <w:t>根据老年群体客户需求和特点，设计适合老年客户的移动支付服务流程，在营业网点等场所提供移动支付产品介绍。</w:t>
      </w:r>
    </w:p>
    <w:p>
      <w:pPr>
        <w:pStyle w:val="65"/>
        <w:spacing w:before="156" w:after="156"/>
        <w:rPr>
          <w:rFonts w:ascii="宋体" w:hAnsi="宋体" w:eastAsia="宋体" w:cs="宋体"/>
        </w:rPr>
      </w:pPr>
      <w:r>
        <w:rPr>
          <w:rFonts w:hint="eastAsia" w:ascii="宋体" w:hAnsi="宋体" w:eastAsia="宋体" w:cs="宋体"/>
        </w:rPr>
        <w:t>移动支付客户端宜提供老年移动支付产品板块，板块流程简洁、容易接受、使用大字体，且在显著位置提供切换功能。</w:t>
      </w:r>
    </w:p>
    <w:p>
      <w:pPr>
        <w:pStyle w:val="65"/>
        <w:spacing w:before="156" w:after="156"/>
        <w:rPr>
          <w:rFonts w:ascii="宋体" w:hAnsi="宋体" w:eastAsia="宋体" w:cs="宋体"/>
        </w:rPr>
      </w:pPr>
      <w:r>
        <w:rPr>
          <w:rFonts w:hint="eastAsia" w:ascii="宋体" w:hAnsi="宋体" w:eastAsia="宋体" w:cs="宋体"/>
        </w:rPr>
        <w:t>移动支付老年板块一次性提供所需产品，并在首页界面或常用交易界面展示。</w:t>
      </w:r>
    </w:p>
    <w:p>
      <w:pPr>
        <w:pStyle w:val="65"/>
        <w:spacing w:before="156" w:after="156"/>
        <w:rPr>
          <w:rFonts w:ascii="宋体" w:hAnsi="宋体" w:eastAsia="宋体" w:cs="宋体"/>
        </w:rPr>
      </w:pPr>
      <w:r>
        <w:rPr>
          <w:rFonts w:hint="eastAsia" w:ascii="宋体" w:hAnsi="宋体" w:eastAsia="宋体" w:cs="宋体"/>
        </w:rPr>
        <w:t>老年移动支付产品上线后，宜由专人负责产品运维并及时优化产品和业务办理流程。</w:t>
      </w:r>
    </w:p>
    <w:p>
      <w:pPr>
        <w:pStyle w:val="105"/>
        <w:spacing w:before="156" w:after="156"/>
      </w:pPr>
      <w:bookmarkStart w:id="166" w:name="_Toc151280206"/>
      <w:bookmarkStart w:id="167" w:name="_Toc151126830"/>
      <w:bookmarkStart w:id="168" w:name="_Toc149206729"/>
      <w:r>
        <w:rPr>
          <w:rFonts w:hint="eastAsia"/>
        </w:rPr>
        <w:t>移动支付场景</w:t>
      </w:r>
      <w:bookmarkEnd w:id="166"/>
      <w:bookmarkEnd w:id="167"/>
      <w:bookmarkEnd w:id="168"/>
    </w:p>
    <w:p>
      <w:pPr>
        <w:pStyle w:val="56"/>
        <w:ind w:firstLine="420"/>
        <w:rPr>
          <w:rFonts w:hAnsi="宋体" w:cs="宋体"/>
        </w:rPr>
      </w:pPr>
      <w:r>
        <w:rPr>
          <w:rFonts w:hint="eastAsia" w:hAnsi="宋体" w:cs="宋体"/>
        </w:rPr>
        <w:t>在菜场、医院、公交、地铁等老年客户高频支付场景积极推进支付交易适老化应用，介绍移动支付操作流程，配备有语音提示的受理设备。</w:t>
      </w:r>
    </w:p>
    <w:p>
      <w:pPr>
        <w:pStyle w:val="105"/>
        <w:spacing w:before="156" w:after="156"/>
      </w:pPr>
      <w:bookmarkStart w:id="169" w:name="_Toc151126831"/>
      <w:bookmarkStart w:id="170" w:name="_Toc151280207"/>
      <w:bookmarkStart w:id="171" w:name="_Toc149206730"/>
      <w:r>
        <w:rPr>
          <w:rFonts w:hint="eastAsia"/>
        </w:rPr>
        <w:t>移动支付流程体验</w:t>
      </w:r>
      <w:bookmarkEnd w:id="169"/>
      <w:bookmarkEnd w:id="170"/>
      <w:bookmarkEnd w:id="171"/>
    </w:p>
    <w:p>
      <w:pPr>
        <w:pStyle w:val="56"/>
        <w:ind w:firstLine="420"/>
        <w:rPr>
          <w:rFonts w:hAnsi="宋体" w:cs="宋体"/>
        </w:rPr>
      </w:pPr>
      <w:r>
        <w:rPr>
          <w:rFonts w:hint="eastAsia" w:hAnsi="宋体" w:cs="宋体"/>
        </w:rPr>
        <w:t>银行营业网点宜设立移动支付体验区，在体验区内布放大字版知识普及手册和意见收集簿，网点人员能面对面进行讲解、演示，及时满足老年客户需求，增加便利度。</w:t>
      </w:r>
    </w:p>
    <w:p>
      <w:pPr>
        <w:pStyle w:val="105"/>
        <w:spacing w:before="156" w:after="156"/>
      </w:pPr>
      <w:bookmarkStart w:id="172" w:name="_Toc151126832"/>
      <w:bookmarkStart w:id="173" w:name="_Toc149206731"/>
      <w:bookmarkStart w:id="174" w:name="_Toc151280208"/>
      <w:r>
        <w:rPr>
          <w:rFonts w:hint="eastAsia"/>
        </w:rPr>
        <w:t>移动支付安全性</w:t>
      </w:r>
      <w:bookmarkEnd w:id="172"/>
      <w:bookmarkEnd w:id="173"/>
      <w:bookmarkEnd w:id="174"/>
    </w:p>
    <w:p>
      <w:pPr>
        <w:pStyle w:val="56"/>
        <w:ind w:firstLine="420"/>
        <w:rPr>
          <w:rFonts w:hAnsi="宋体" w:cs="宋体"/>
        </w:rPr>
      </w:pPr>
      <w:r>
        <w:rPr>
          <w:rFonts w:hint="eastAsia" w:hAnsi="宋体" w:cs="宋体"/>
        </w:rPr>
        <w:t>银行在进行个人信息处理时遵循最小必要原则，必要时加密传输。网点应定期对老年人信息保护工作开展自查工作，切实保障老年客户个人信息安全。</w:t>
      </w:r>
    </w:p>
    <w:p>
      <w:pPr>
        <w:pStyle w:val="104"/>
        <w:spacing w:before="312" w:after="312"/>
      </w:pPr>
      <w:bookmarkStart w:id="175" w:name="_Toc151369775"/>
      <w:bookmarkStart w:id="176" w:name="_Toc149206732"/>
      <w:bookmarkStart w:id="177" w:name="_Toc151126833"/>
      <w:bookmarkStart w:id="178" w:name="_Toc151280209"/>
      <w:r>
        <w:rPr>
          <w:rFonts w:hint="eastAsia"/>
        </w:rPr>
        <w:t>业务办理流程</w:t>
      </w:r>
      <w:bookmarkEnd w:id="175"/>
      <w:bookmarkEnd w:id="176"/>
      <w:bookmarkEnd w:id="177"/>
      <w:bookmarkEnd w:id="178"/>
    </w:p>
    <w:p>
      <w:pPr>
        <w:pStyle w:val="105"/>
        <w:spacing w:before="156" w:after="156"/>
      </w:pPr>
      <w:bookmarkStart w:id="179" w:name="_Toc149206733"/>
      <w:bookmarkStart w:id="180" w:name="_Toc151280210"/>
      <w:bookmarkStart w:id="181" w:name="_Toc151126834"/>
      <w:r>
        <w:rPr>
          <w:rFonts w:hint="eastAsia"/>
        </w:rPr>
        <w:t>签名、密码等替代服务</w:t>
      </w:r>
      <w:bookmarkEnd w:id="179"/>
      <w:bookmarkEnd w:id="180"/>
      <w:bookmarkEnd w:id="181"/>
    </w:p>
    <w:p>
      <w:pPr>
        <w:pStyle w:val="56"/>
        <w:ind w:firstLine="420"/>
        <w:rPr>
          <w:rFonts w:hAnsi="宋体" w:cs="宋体"/>
        </w:rPr>
      </w:pPr>
      <w:r>
        <w:rPr>
          <w:rFonts w:hint="eastAsia" w:hAnsi="宋体" w:cs="宋体"/>
        </w:rPr>
        <w:t>宜在密码重置、签字确认、卡折挂失等环节增加人脸或指纹识别等替代服务，作为手工签名、支付密码的补充形式，解决老年客户因文化水平或身体状况不便的情况下无法签名、遗忘密码等问题。</w:t>
      </w:r>
    </w:p>
    <w:p>
      <w:pPr>
        <w:pStyle w:val="105"/>
        <w:spacing w:before="156" w:after="156"/>
      </w:pPr>
      <w:bookmarkStart w:id="182" w:name="_Toc151126835"/>
      <w:bookmarkStart w:id="183" w:name="_Toc149206734"/>
      <w:bookmarkStart w:id="184" w:name="_Toc151280211"/>
      <w:r>
        <w:rPr>
          <w:rFonts w:hint="eastAsia"/>
        </w:rPr>
        <w:t>书面材料</w:t>
      </w:r>
      <w:bookmarkEnd w:id="182"/>
      <w:bookmarkEnd w:id="183"/>
      <w:bookmarkEnd w:id="184"/>
    </w:p>
    <w:p>
      <w:pPr>
        <w:pStyle w:val="56"/>
        <w:ind w:firstLine="420"/>
        <w:rPr>
          <w:rFonts w:hAnsi="宋体" w:cs="宋体"/>
        </w:rPr>
      </w:pPr>
      <w:r>
        <w:rPr>
          <w:rFonts w:hint="eastAsia" w:hAnsi="宋体" w:cs="宋体"/>
        </w:rPr>
        <w:t>梳理整合各类业务申请书、办理协议、业务授权等，在守住风险底线的前提下，优化老年客户各类业务办理流程。</w:t>
      </w:r>
    </w:p>
    <w:p>
      <w:pPr>
        <w:pStyle w:val="105"/>
        <w:spacing w:before="156" w:after="156"/>
      </w:pPr>
      <w:bookmarkStart w:id="185" w:name="_Toc149206735"/>
      <w:bookmarkStart w:id="186" w:name="_Toc151126836"/>
      <w:bookmarkStart w:id="187" w:name="_Toc151280212"/>
      <w:r>
        <w:rPr>
          <w:rFonts w:hint="eastAsia"/>
        </w:rPr>
        <w:t>定制服务</w:t>
      </w:r>
      <w:bookmarkEnd w:id="185"/>
      <w:bookmarkEnd w:id="186"/>
      <w:bookmarkEnd w:id="187"/>
    </w:p>
    <w:p>
      <w:pPr>
        <w:pStyle w:val="55"/>
        <w:ind w:firstLine="420"/>
      </w:pPr>
      <w:r>
        <w:rPr>
          <w:rFonts w:hint="eastAsia"/>
        </w:rPr>
        <w:t>对有需求的老年客户，经客户本人授权后，宜提供产品到期提示。</w:t>
      </w:r>
    </w:p>
    <w:p>
      <w:pPr>
        <w:pStyle w:val="104"/>
        <w:spacing w:before="312" w:after="312"/>
      </w:pPr>
      <w:bookmarkStart w:id="188" w:name="_Toc151280213"/>
      <w:bookmarkStart w:id="189" w:name="_Toc151369776"/>
      <w:bookmarkStart w:id="190" w:name="_Toc149206736"/>
      <w:bookmarkStart w:id="191" w:name="_Toc151126837"/>
      <w:r>
        <w:rPr>
          <w:rFonts w:hint="eastAsia"/>
        </w:rPr>
        <w:t>受理终端</w:t>
      </w:r>
      <w:bookmarkEnd w:id="188"/>
      <w:bookmarkEnd w:id="189"/>
      <w:bookmarkEnd w:id="190"/>
      <w:bookmarkEnd w:id="191"/>
    </w:p>
    <w:p>
      <w:pPr>
        <w:pStyle w:val="105"/>
        <w:spacing w:before="156" w:after="156"/>
      </w:pPr>
      <w:bookmarkStart w:id="192" w:name="_Toc151280214"/>
      <w:bookmarkStart w:id="193" w:name="_Toc149206737"/>
      <w:bookmarkStart w:id="194" w:name="_Toc151126838"/>
      <w:r>
        <w:rPr>
          <w:rFonts w:hint="eastAsia"/>
        </w:rPr>
        <w:t>机具安排</w:t>
      </w:r>
      <w:bookmarkEnd w:id="192"/>
      <w:bookmarkEnd w:id="193"/>
      <w:bookmarkEnd w:id="194"/>
    </w:p>
    <w:p>
      <w:pPr>
        <w:pStyle w:val="56"/>
        <w:ind w:firstLine="420"/>
        <w:rPr>
          <w:rFonts w:hAnsi="宋体" w:cs="宋体"/>
        </w:rPr>
      </w:pPr>
      <w:r>
        <w:rPr>
          <w:rFonts w:hint="eastAsia" w:hAnsi="宋体" w:cs="宋体"/>
        </w:rPr>
        <w:t>收单机构提供智能收银机、扫码盒子、智能POS机等具备付款扫码功能的机具时，宜妥善配置语音播报，增加多次操作“确认”功能。</w:t>
      </w:r>
    </w:p>
    <w:p>
      <w:pPr>
        <w:pStyle w:val="105"/>
        <w:spacing w:before="156" w:after="156"/>
      </w:pPr>
      <w:bookmarkStart w:id="195" w:name="_Toc151280215"/>
      <w:bookmarkStart w:id="196" w:name="_Toc151126839"/>
      <w:bookmarkStart w:id="197" w:name="_Toc149206738"/>
      <w:r>
        <w:rPr>
          <w:rFonts w:hint="eastAsia"/>
        </w:rPr>
        <w:t>机具配备</w:t>
      </w:r>
      <w:bookmarkEnd w:id="195"/>
      <w:bookmarkEnd w:id="196"/>
      <w:bookmarkEnd w:id="197"/>
    </w:p>
    <w:p>
      <w:pPr>
        <w:pStyle w:val="56"/>
        <w:ind w:firstLine="420"/>
        <w:rPr>
          <w:rFonts w:hAnsi="宋体" w:cs="宋体"/>
        </w:rPr>
      </w:pPr>
      <w:r>
        <w:rPr>
          <w:rFonts w:hint="eastAsia" w:hAnsi="宋体" w:cs="宋体"/>
        </w:rPr>
        <w:t>受理终端宜界面简单、字体较大、屏显清晰、操作便捷，语音播报设备应能设置较大音量。</w:t>
      </w:r>
    </w:p>
    <w:p>
      <w:pPr>
        <w:pStyle w:val="104"/>
        <w:spacing w:before="312" w:after="312"/>
      </w:pPr>
      <w:bookmarkStart w:id="198" w:name="_Toc151369777"/>
      <w:bookmarkStart w:id="199" w:name="_Toc151280216"/>
      <w:bookmarkStart w:id="200" w:name="_Toc151126840"/>
      <w:bookmarkStart w:id="201" w:name="_Toc149206739"/>
      <w:r>
        <w:rPr>
          <w:rFonts w:hint="eastAsia"/>
        </w:rPr>
        <w:t>权益保障</w:t>
      </w:r>
      <w:bookmarkEnd w:id="198"/>
      <w:bookmarkEnd w:id="199"/>
      <w:bookmarkEnd w:id="200"/>
      <w:bookmarkEnd w:id="201"/>
    </w:p>
    <w:p>
      <w:pPr>
        <w:pStyle w:val="105"/>
        <w:spacing w:before="156" w:after="156"/>
      </w:pPr>
      <w:bookmarkStart w:id="202" w:name="_Toc151280217"/>
      <w:bookmarkStart w:id="203" w:name="_Toc149206740"/>
      <w:bookmarkStart w:id="204" w:name="_Toc151126841"/>
      <w:r>
        <w:rPr>
          <w:rFonts w:hint="eastAsia"/>
        </w:rPr>
        <w:t>投诉渠道</w:t>
      </w:r>
      <w:bookmarkEnd w:id="202"/>
      <w:bookmarkEnd w:id="203"/>
      <w:bookmarkEnd w:id="204"/>
    </w:p>
    <w:p>
      <w:pPr>
        <w:pStyle w:val="65"/>
        <w:numPr>
          <w:ilvl w:val="0"/>
          <w:numId w:val="0"/>
        </w:numPr>
        <w:spacing w:before="156" w:after="156"/>
      </w:pPr>
      <w:r>
        <w:rPr>
          <w:rFonts w:hint="eastAsia"/>
        </w:rPr>
        <w:t xml:space="preserve">8.1.1畅通老年客户投诉渠道 </w:t>
      </w:r>
    </w:p>
    <w:p>
      <w:pPr>
        <w:pStyle w:val="56"/>
        <w:ind w:firstLine="420"/>
        <w:rPr>
          <w:rFonts w:hAnsi="宋体" w:cs="宋体"/>
        </w:rPr>
      </w:pPr>
      <w:r>
        <w:rPr>
          <w:rFonts w:hint="eastAsia" w:hAnsi="宋体" w:cs="宋体"/>
        </w:rPr>
        <w:t>放置客户意见簿、设置投诉电话等方式广泛收集老年客户意见。对意见簿上的意见24小时内响应，对留有电话信息的老年客户在规定时间内予以回复、回访。</w:t>
      </w:r>
    </w:p>
    <w:p>
      <w:pPr>
        <w:pStyle w:val="65"/>
        <w:numPr>
          <w:ilvl w:val="3"/>
          <w:numId w:val="0"/>
        </w:numPr>
        <w:spacing w:before="156" w:after="156"/>
      </w:pPr>
      <w:r>
        <w:rPr>
          <w:rFonts w:hint="eastAsia"/>
        </w:rPr>
        <w:t>8.1.2应诉质量管理</w:t>
      </w:r>
    </w:p>
    <w:p>
      <w:pPr>
        <w:pStyle w:val="56"/>
        <w:ind w:firstLine="420"/>
        <w:rPr>
          <w:rFonts w:hAnsi="宋体" w:cs="宋体"/>
        </w:rPr>
      </w:pPr>
      <w:r>
        <w:rPr>
          <w:rFonts w:hint="eastAsia" w:hAnsi="宋体" w:cs="宋体"/>
        </w:rPr>
        <w:t>可参照GB/T32312-2015对投诉处理进行测量与反馈。</w:t>
      </w:r>
    </w:p>
    <w:p>
      <w:pPr>
        <w:pStyle w:val="105"/>
        <w:spacing w:before="156" w:after="156"/>
      </w:pPr>
      <w:bookmarkStart w:id="205" w:name="_Toc151280218"/>
      <w:bookmarkStart w:id="206" w:name="_Toc149206741"/>
      <w:bookmarkStart w:id="207" w:name="_Toc151126842"/>
      <w:r>
        <w:rPr>
          <w:rFonts w:hint="eastAsia"/>
        </w:rPr>
        <w:t>服务热线</w:t>
      </w:r>
      <w:bookmarkEnd w:id="205"/>
      <w:bookmarkEnd w:id="206"/>
      <w:bookmarkEnd w:id="207"/>
    </w:p>
    <w:p>
      <w:pPr>
        <w:pStyle w:val="56"/>
        <w:ind w:firstLine="420"/>
        <w:rPr>
          <w:rFonts w:hAnsi="宋体" w:cs="宋体"/>
        </w:rPr>
      </w:pPr>
      <w:r>
        <w:rPr>
          <w:rFonts w:hint="eastAsia" w:hAnsi="宋体" w:cs="宋体"/>
        </w:rPr>
        <w:t>对外公开的服务电话宜包括老年服务专线，并简化拨打流程，鼓励银行根据预留电话识别老年客户身份，同时安排专人听取老年客户支付服务需求，处理业务纠纷和投诉。</w:t>
      </w:r>
    </w:p>
    <w:p>
      <w:pPr>
        <w:pStyle w:val="105"/>
        <w:spacing w:before="156" w:after="156"/>
      </w:pPr>
      <w:bookmarkStart w:id="208" w:name="_Toc149206742"/>
      <w:bookmarkStart w:id="209" w:name="_Toc151126843"/>
      <w:bookmarkStart w:id="210" w:name="_Toc151280219"/>
      <w:r>
        <w:rPr>
          <w:rFonts w:hint="eastAsia"/>
        </w:rPr>
        <w:t>客户回访</w:t>
      </w:r>
      <w:bookmarkEnd w:id="208"/>
      <w:bookmarkEnd w:id="209"/>
      <w:bookmarkEnd w:id="210"/>
    </w:p>
    <w:p>
      <w:pPr>
        <w:pStyle w:val="56"/>
        <w:ind w:firstLine="420"/>
        <w:rPr>
          <w:rFonts w:hAnsi="宋体" w:cs="宋体"/>
        </w:rPr>
      </w:pPr>
      <w:r>
        <w:rPr>
          <w:rFonts w:hint="eastAsia" w:hAnsi="宋体" w:cs="宋体"/>
        </w:rPr>
        <w:t>定期进行老年客户满意度调查，征求客户意见、建议和需求，相关信息记录真实、完整，分析、反馈、报告及时，并根据回访结果改进老年金融服务。</w:t>
      </w:r>
    </w:p>
    <w:p>
      <w:pPr>
        <w:pStyle w:val="105"/>
        <w:spacing w:before="156" w:after="156"/>
        <w:rPr>
          <w:rFonts w:hAnsi="黑体"/>
        </w:rPr>
      </w:pPr>
      <w:bookmarkStart w:id="211" w:name="_Toc149206743"/>
      <w:bookmarkStart w:id="212" w:name="_Toc151280220"/>
      <w:bookmarkStart w:id="213" w:name="_Toc151126844"/>
      <w:r>
        <w:rPr>
          <w:rFonts w:hint="eastAsia" w:hAnsi="黑体"/>
        </w:rPr>
        <w:t>客户管理</w:t>
      </w:r>
      <w:bookmarkEnd w:id="211"/>
      <w:bookmarkEnd w:id="212"/>
      <w:bookmarkEnd w:id="213"/>
    </w:p>
    <w:p>
      <w:pPr>
        <w:pStyle w:val="65"/>
        <w:spacing w:before="156" w:after="156"/>
        <w:rPr>
          <w:rFonts w:ascii="宋体" w:hAnsi="宋体" w:eastAsia="宋体" w:cs="宋体"/>
        </w:rPr>
      </w:pPr>
      <w:r>
        <w:rPr>
          <w:rFonts w:hint="eastAsia" w:ascii="宋体" w:hAnsi="宋体" w:eastAsia="宋体" w:cs="宋体"/>
        </w:rPr>
        <w:t>对客户宜进行分类管理，根据客户活跃程度及业务习惯，提供针对性的服务。</w:t>
      </w:r>
    </w:p>
    <w:p>
      <w:pPr>
        <w:pStyle w:val="65"/>
        <w:spacing w:before="156" w:after="156"/>
        <w:rPr>
          <w:rFonts w:ascii="宋体" w:hAnsi="宋体" w:eastAsia="宋体" w:cs="宋体"/>
        </w:rPr>
      </w:pPr>
      <w:r>
        <w:rPr>
          <w:rFonts w:hint="eastAsia" w:ascii="宋体" w:hAnsi="宋体" w:eastAsia="宋体" w:cs="宋体"/>
        </w:rPr>
        <w:t>重点关注风险评估为中高风险的老年客户，及时告知金融产品的风险，若老年客户有金融产品赎回需求，宜及时予以协助，并将相关内容作为银行内部风险管控和事后监督的重点。</w:t>
      </w:r>
    </w:p>
    <w:p>
      <w:pPr>
        <w:pStyle w:val="104"/>
        <w:spacing w:before="312" w:after="312"/>
      </w:pPr>
      <w:bookmarkStart w:id="214" w:name="_Toc151369778"/>
      <w:bookmarkStart w:id="215" w:name="_Toc151280221"/>
      <w:bookmarkStart w:id="216" w:name="_Toc151126845"/>
      <w:bookmarkStart w:id="217" w:name="_Toc149206744"/>
      <w:r>
        <w:rPr>
          <w:rFonts w:hint="eastAsia"/>
        </w:rPr>
        <w:t>农村地区普惠金融服务点</w:t>
      </w:r>
      <w:bookmarkEnd w:id="214"/>
      <w:bookmarkEnd w:id="215"/>
      <w:bookmarkEnd w:id="216"/>
      <w:bookmarkEnd w:id="217"/>
    </w:p>
    <w:p>
      <w:pPr>
        <w:pStyle w:val="105"/>
        <w:spacing w:before="156" w:after="156"/>
      </w:pPr>
      <w:bookmarkStart w:id="218" w:name="_Toc151126846"/>
      <w:bookmarkStart w:id="219" w:name="_Toc151280222"/>
      <w:bookmarkStart w:id="220" w:name="_Toc149206745"/>
      <w:r>
        <w:rPr>
          <w:rFonts w:hint="eastAsia"/>
        </w:rPr>
        <w:t>服务点建设</w:t>
      </w:r>
      <w:bookmarkEnd w:id="218"/>
      <w:bookmarkEnd w:id="219"/>
      <w:bookmarkEnd w:id="220"/>
    </w:p>
    <w:p>
      <w:pPr>
        <w:pStyle w:val="65"/>
        <w:spacing w:before="156" w:after="156"/>
        <w:rPr>
          <w:rFonts w:ascii="宋体" w:hAnsi="宋体" w:eastAsia="宋体" w:cs="宋体"/>
        </w:rPr>
      </w:pPr>
      <w:r>
        <w:rPr>
          <w:rFonts w:hint="eastAsia" w:ascii="宋体" w:hAnsi="宋体" w:eastAsia="宋体" w:cs="宋体"/>
        </w:rPr>
        <w:t>合理选址。老年人口聚集的乡镇宜有银行网点或农村普惠金融服务点。</w:t>
      </w:r>
    </w:p>
    <w:p>
      <w:pPr>
        <w:pStyle w:val="65"/>
        <w:spacing w:before="156" w:after="156"/>
        <w:rPr>
          <w:rFonts w:ascii="宋体" w:hAnsi="宋体" w:eastAsia="宋体" w:cs="宋体"/>
        </w:rPr>
      </w:pPr>
      <w:r>
        <w:rPr>
          <w:rFonts w:hint="eastAsia" w:ascii="宋体" w:hAnsi="宋体" w:eastAsia="宋体" w:cs="宋体"/>
        </w:rPr>
        <w:t>开通基础金融服务。服务点布放多媒体终端，办理小额取款、消费、转账、存折补打、残破币兑换、各类公用事业缴费、各类涉农补贴发放、查询、信息宣传等业务事项，结合村委或社区联合开展政府便民服务等事项，根据实际情况开通民生、政务、社区、电商、物流等功能。</w:t>
      </w:r>
    </w:p>
    <w:p>
      <w:pPr>
        <w:pStyle w:val="65"/>
        <w:spacing w:before="156" w:after="156"/>
        <w:rPr>
          <w:rFonts w:ascii="宋体" w:hAnsi="宋体" w:eastAsia="宋体" w:cs="宋体"/>
        </w:rPr>
      </w:pPr>
      <w:r>
        <w:rPr>
          <w:rFonts w:hint="eastAsia" w:ascii="宋体" w:hAnsi="宋体" w:eastAsia="宋体" w:cs="宋体"/>
        </w:rPr>
        <w:t>升级改造服务点的智能设备。放大提示字体和按键，增加语音播报，适当简化设备操作步骤，适应老年客户的操作习惯。</w:t>
      </w:r>
    </w:p>
    <w:p>
      <w:pPr>
        <w:pStyle w:val="65"/>
        <w:spacing w:before="156" w:after="156"/>
        <w:rPr>
          <w:rFonts w:ascii="宋体" w:hAnsi="宋体" w:eastAsia="宋体" w:cs="宋体"/>
        </w:rPr>
      </w:pPr>
      <w:r>
        <w:rPr>
          <w:rFonts w:hint="eastAsia" w:ascii="宋体" w:hAnsi="宋体" w:eastAsia="宋体" w:cs="宋体"/>
        </w:rPr>
        <w:t>配备老花镜、放大镜、点钞机等敬老设施，可提供陪伴服务、电话预约服务、上门服务。</w:t>
      </w:r>
    </w:p>
    <w:p>
      <w:pPr>
        <w:pStyle w:val="65"/>
        <w:spacing w:before="156" w:after="156"/>
        <w:rPr>
          <w:rFonts w:ascii="宋体" w:hAnsi="宋体" w:eastAsia="宋体" w:cs="宋体"/>
        </w:rPr>
      </w:pPr>
      <w:r>
        <w:rPr>
          <w:rFonts w:hint="eastAsia" w:ascii="宋体" w:hAnsi="宋体" w:eastAsia="宋体" w:cs="宋体"/>
        </w:rPr>
        <w:t>强化与地方政府部门的老年人服务项目融合，在服务点开展以老年人为服务对象的金融知识讲座和其他老年人喜闻乐见的金融知识宣传活动。</w:t>
      </w:r>
    </w:p>
    <w:p>
      <w:pPr>
        <w:pStyle w:val="105"/>
        <w:spacing w:before="156" w:after="156"/>
      </w:pPr>
      <w:bookmarkStart w:id="221" w:name="_Toc149206746"/>
      <w:bookmarkStart w:id="222" w:name="_Toc151280223"/>
      <w:bookmarkStart w:id="223" w:name="_Toc151126847"/>
      <w:r>
        <w:rPr>
          <w:rFonts w:hint="eastAsia"/>
        </w:rPr>
        <w:t>产业扶持</w:t>
      </w:r>
      <w:bookmarkEnd w:id="221"/>
      <w:bookmarkEnd w:id="222"/>
      <w:bookmarkEnd w:id="223"/>
    </w:p>
    <w:p>
      <w:pPr>
        <w:pStyle w:val="65"/>
        <w:spacing w:before="156" w:after="156"/>
        <w:rPr>
          <w:rFonts w:ascii="宋体" w:hAnsi="宋体" w:eastAsia="宋体" w:cs="宋体"/>
        </w:rPr>
      </w:pPr>
      <w:r>
        <w:rPr>
          <w:rFonts w:hint="eastAsia" w:ascii="宋体" w:hAnsi="宋体" w:eastAsia="宋体" w:cs="宋体"/>
        </w:rPr>
        <w:t>结合当地产业特点，做好当地农业特色产业的资金支持，利用银行网点或者农村普惠金融服务点开展老年客户信贷需求对接。</w:t>
      </w:r>
    </w:p>
    <w:p>
      <w:pPr>
        <w:pStyle w:val="65"/>
        <w:spacing w:before="156" w:after="156"/>
        <w:rPr>
          <w:rFonts w:ascii="宋体" w:hAnsi="宋体" w:eastAsia="宋体" w:cs="宋体"/>
        </w:rPr>
      </w:pPr>
      <w:r>
        <w:rPr>
          <w:rFonts w:hint="eastAsia" w:ascii="宋体" w:hAnsi="宋体" w:eastAsia="宋体" w:cs="宋体"/>
        </w:rPr>
        <w:t>利用云闪付和各银行的网上销售平台，开设老年商户农产品销售专区，帮助解决老年商户进城销售难的问题。</w:t>
      </w:r>
    </w:p>
    <w:p>
      <w:pPr>
        <w:pStyle w:val="105"/>
        <w:spacing w:before="156" w:after="156"/>
      </w:pPr>
      <w:bookmarkStart w:id="224" w:name="_Toc151280224"/>
      <w:bookmarkStart w:id="225" w:name="_Toc151126848"/>
      <w:bookmarkStart w:id="226" w:name="_Toc149206747"/>
      <w:r>
        <w:rPr>
          <w:rFonts w:hint="eastAsia"/>
        </w:rPr>
        <w:t>金融服务环境建设</w:t>
      </w:r>
      <w:bookmarkEnd w:id="224"/>
      <w:bookmarkEnd w:id="225"/>
      <w:bookmarkEnd w:id="226"/>
    </w:p>
    <w:p>
      <w:pPr>
        <w:pStyle w:val="65"/>
        <w:spacing w:before="156" w:after="156"/>
        <w:rPr>
          <w:rFonts w:ascii="宋体" w:hAnsi="宋体" w:eastAsia="宋体" w:cs="宋体"/>
        </w:rPr>
      </w:pPr>
      <w:r>
        <w:rPr>
          <w:rFonts w:hint="eastAsia" w:ascii="宋体" w:hAnsi="宋体" w:eastAsia="宋体" w:cs="宋体"/>
        </w:rPr>
        <w:t>实行流动服务。增设“移动展业终端”等便民设施，解决农村老年客户出门不便的实际困难。</w:t>
      </w:r>
    </w:p>
    <w:p>
      <w:pPr>
        <w:pStyle w:val="65"/>
        <w:spacing w:before="156" w:after="156"/>
        <w:rPr>
          <w:rFonts w:ascii="宋体" w:hAnsi="宋体" w:eastAsia="宋体" w:cs="宋体"/>
        </w:rPr>
      </w:pPr>
      <w:r>
        <w:rPr>
          <w:rFonts w:hint="eastAsia" w:ascii="宋体" w:hAnsi="宋体" w:eastAsia="宋体" w:cs="宋体"/>
        </w:rPr>
        <w:t>普及金融知识。可利用宣传车等形式在农村地区巡回宣传，普及信贷政策、个人征信、支付安全、电信诈骗等金融知识。</w:t>
      </w:r>
    </w:p>
    <w:p>
      <w:pPr>
        <w:pStyle w:val="65"/>
        <w:spacing w:before="156" w:after="156"/>
        <w:rPr>
          <w:rFonts w:ascii="宋体" w:hAnsi="宋体" w:eastAsia="宋体" w:cs="宋体"/>
        </w:rPr>
      </w:pPr>
      <w:r>
        <w:rPr>
          <w:rFonts w:hint="eastAsia" w:ascii="宋体" w:hAnsi="宋体" w:eastAsia="宋体" w:cs="宋体"/>
        </w:rPr>
        <w:t>适老化品牌建设。创建适老化特色品牌，增强适老化金融产品和服务的定向可识别性。</w:t>
      </w:r>
    </w:p>
    <w:p>
      <w:pPr>
        <w:pStyle w:val="104"/>
        <w:spacing w:before="312" w:after="312"/>
      </w:pPr>
      <w:bookmarkStart w:id="227" w:name="_Toc151369779"/>
      <w:bookmarkStart w:id="228" w:name="_Toc149206748"/>
      <w:bookmarkStart w:id="229" w:name="_Toc151280225"/>
      <w:bookmarkStart w:id="230" w:name="_Toc151126849"/>
      <w:r>
        <w:rPr>
          <w:rFonts w:hint="eastAsia"/>
        </w:rPr>
        <w:t>宣传与营销</w:t>
      </w:r>
      <w:bookmarkEnd w:id="227"/>
      <w:bookmarkEnd w:id="228"/>
      <w:bookmarkEnd w:id="229"/>
      <w:bookmarkEnd w:id="230"/>
    </w:p>
    <w:p>
      <w:pPr>
        <w:pStyle w:val="105"/>
        <w:spacing w:before="156" w:after="156"/>
      </w:pPr>
      <w:bookmarkStart w:id="231" w:name="_Toc151280226"/>
      <w:bookmarkStart w:id="232" w:name="_Toc151126850"/>
      <w:bookmarkStart w:id="233" w:name="_Toc149206749"/>
      <w:r>
        <w:rPr>
          <w:rFonts w:hint="eastAsia"/>
        </w:rPr>
        <w:t>金融知识宣传</w:t>
      </w:r>
      <w:bookmarkEnd w:id="231"/>
      <w:bookmarkEnd w:id="232"/>
      <w:bookmarkEnd w:id="233"/>
    </w:p>
    <w:p>
      <w:pPr>
        <w:pStyle w:val="65"/>
        <w:spacing w:before="156" w:after="156"/>
        <w:rPr>
          <w:rFonts w:ascii="宋体" w:hAnsi="宋体" w:eastAsia="宋体" w:cs="宋体"/>
        </w:rPr>
      </w:pPr>
      <w:r>
        <w:rPr>
          <w:rFonts w:hint="eastAsia" w:ascii="宋体" w:hAnsi="宋体" w:eastAsia="宋体" w:cs="宋体"/>
        </w:rPr>
        <w:t>在营业大厅通过宣传画、游动字幕、视频播放、折页等开展老年金融服务知识宣传。</w:t>
      </w:r>
    </w:p>
    <w:p>
      <w:pPr>
        <w:pStyle w:val="65"/>
        <w:spacing w:before="156" w:after="156"/>
        <w:rPr>
          <w:rFonts w:ascii="宋体" w:hAnsi="宋体" w:eastAsia="宋体" w:cs="宋体"/>
        </w:rPr>
      </w:pPr>
      <w:r>
        <w:rPr>
          <w:rFonts w:hint="eastAsia" w:ascii="宋体" w:hAnsi="宋体" w:eastAsia="宋体" w:cs="宋体"/>
        </w:rPr>
        <w:t>通过社区街道共建结对、与老年大学合作、进乡入镇等形式，每季度开展不同主题的金融知识宣传活动，如：防诈骗知识、反假识假知识、手机使用知识、电子银行使用知识、非法集资知识等。</w:t>
      </w:r>
    </w:p>
    <w:p>
      <w:pPr>
        <w:pStyle w:val="65"/>
        <w:spacing w:before="156" w:after="156"/>
        <w:rPr>
          <w:rFonts w:ascii="宋体" w:hAnsi="宋体" w:eastAsia="宋体" w:cs="宋体"/>
        </w:rPr>
      </w:pPr>
      <w:r>
        <w:rPr>
          <w:rFonts w:hint="eastAsia" w:ascii="宋体" w:hAnsi="宋体" w:eastAsia="宋体" w:cs="宋体"/>
        </w:rPr>
        <w:t>制作简明的教学材料，通过线上直播、微信公众号等渠道，开展面向老年客户的银行卡支付、移动支付、手机银行等知识宣传普及，帮助老年客户熟悉支付产品与服务的使用流程。</w:t>
      </w:r>
    </w:p>
    <w:p>
      <w:pPr>
        <w:pStyle w:val="65"/>
        <w:spacing w:before="156" w:after="156"/>
        <w:rPr>
          <w:rFonts w:ascii="宋体" w:hAnsi="宋体" w:eastAsia="宋体" w:cs="宋体"/>
        </w:rPr>
      </w:pPr>
      <w:r>
        <w:rPr>
          <w:rFonts w:hint="eastAsia" w:ascii="宋体" w:hAnsi="宋体" w:eastAsia="宋体" w:cs="宋体"/>
        </w:rPr>
        <w:t>建立畅通的咨询服务渠道，及时答复老年客户疑问，提高老年客户应对风险和自我保护能力，并形成长效机制。</w:t>
      </w:r>
    </w:p>
    <w:p>
      <w:pPr>
        <w:pStyle w:val="65"/>
        <w:spacing w:before="156" w:after="156"/>
        <w:rPr>
          <w:rFonts w:ascii="宋体" w:hAnsi="宋体" w:eastAsia="宋体" w:cs="宋体"/>
        </w:rPr>
      </w:pPr>
      <w:r>
        <w:rPr>
          <w:rFonts w:hint="eastAsia" w:ascii="宋体" w:hAnsi="宋体" w:eastAsia="宋体" w:cs="宋体"/>
        </w:rPr>
        <w:t>履行安全用卡告知义务。老年客户开立账户时，宜重点做好金融教育，告知出租、出借、出售、购买银行账户的危害性和惩戒措施，保障老年客户权益。</w:t>
      </w:r>
    </w:p>
    <w:p>
      <w:pPr>
        <w:pStyle w:val="65"/>
        <w:spacing w:before="156" w:after="156"/>
        <w:rPr>
          <w:rFonts w:ascii="宋体" w:hAnsi="宋体" w:eastAsia="宋体" w:cs="宋体"/>
        </w:rPr>
      </w:pPr>
      <w:r>
        <w:rPr>
          <w:rFonts w:hint="eastAsia" w:ascii="宋体" w:hAnsi="宋体" w:eastAsia="宋体" w:cs="宋体"/>
        </w:rPr>
        <w:t>有能力的分支机构宜提供老年活动场所，致力于服务老年客户，为老年客户举办各类讲座、主题活动等。</w:t>
      </w:r>
    </w:p>
    <w:p>
      <w:pPr>
        <w:pStyle w:val="105"/>
        <w:spacing w:before="156" w:after="156"/>
      </w:pPr>
      <w:bookmarkStart w:id="234" w:name="_Toc151126851"/>
      <w:bookmarkStart w:id="235" w:name="_Toc151280227"/>
      <w:bookmarkStart w:id="236" w:name="_Toc149206750"/>
      <w:r>
        <w:rPr>
          <w:rFonts w:hint="eastAsia"/>
        </w:rPr>
        <w:t>老年金融产品营销</w:t>
      </w:r>
      <w:bookmarkEnd w:id="234"/>
      <w:bookmarkEnd w:id="235"/>
      <w:bookmarkEnd w:id="236"/>
    </w:p>
    <w:p>
      <w:pPr>
        <w:pStyle w:val="65"/>
        <w:spacing w:before="156" w:after="156"/>
        <w:rPr>
          <w:rFonts w:ascii="宋体" w:hAnsi="宋体" w:eastAsia="宋体" w:cs="宋体"/>
        </w:rPr>
      </w:pPr>
      <w:r>
        <w:rPr>
          <w:rFonts w:hint="eastAsia" w:ascii="宋体" w:hAnsi="宋体" w:eastAsia="宋体" w:cs="宋体"/>
        </w:rPr>
        <w:t>尊重老年客户的金融消费需求，在销售金融产品或提供金融服务时，如实介绍产品信息，真实全面揭示风险，尊重老年客户的自主选择权和公平交易权，不误导销售、强制交易，不开展不当金融营销宣传。</w:t>
      </w:r>
    </w:p>
    <w:p>
      <w:pPr>
        <w:pStyle w:val="65"/>
        <w:spacing w:before="156" w:after="156"/>
        <w:rPr>
          <w:rFonts w:ascii="宋体" w:hAnsi="宋体" w:eastAsia="宋体" w:cs="宋体"/>
        </w:rPr>
      </w:pPr>
      <w:r>
        <w:rPr>
          <w:rFonts w:hint="eastAsia" w:ascii="宋体" w:hAnsi="宋体" w:eastAsia="宋体" w:cs="宋体"/>
        </w:rPr>
        <w:t>老年客户购买基金、保险、黄金、理财产品等前应开展风险评估，确保每个测评项为客户本人真实的意思表示，并做好资料保存工作。</w:t>
      </w:r>
    </w:p>
    <w:p>
      <w:pPr>
        <w:pStyle w:val="65"/>
        <w:spacing w:before="156" w:after="156"/>
        <w:rPr>
          <w:rFonts w:ascii="宋体" w:hAnsi="宋体" w:eastAsia="宋体" w:cs="宋体"/>
        </w:rPr>
      </w:pPr>
      <w:r>
        <w:rPr>
          <w:rFonts w:hint="eastAsia" w:ascii="宋体" w:hAnsi="宋体" w:eastAsia="宋体" w:cs="宋体"/>
        </w:rPr>
        <w:t>根据老年客户风险评估结果提供或推荐合适的产品和服务，不提供或推荐与其风险承受能力不相符合的产品和服务；线上渠道购买产品与其风险承受能力不匹配的系统宜明确提示并经客户确认；将老年客户列入重点关注对象，不主动推荐其购买中高风险金融产品。</w:t>
      </w:r>
    </w:p>
    <w:p>
      <w:pPr>
        <w:pStyle w:val="65"/>
        <w:spacing w:before="156" w:after="156"/>
        <w:rPr>
          <w:rFonts w:ascii="宋体" w:hAnsi="宋体" w:eastAsia="宋体" w:cs="宋体"/>
        </w:rPr>
      </w:pPr>
      <w:r>
        <w:rPr>
          <w:rFonts w:hint="eastAsia" w:ascii="宋体" w:hAnsi="宋体" w:eastAsia="宋体" w:cs="宋体"/>
        </w:rPr>
        <w:t>营销推介环节风险提示到位。在产品销售专区内实现销售过程同步录音录像，完整客观地记录营销推介、相关风险和关键信息提示、客户确认和反馈等重点销售环节；录制过程中保护老年客户隐私，妥善留存老年客户已明确知晓产品重要属性和风险信息的相关证据。</w:t>
      </w:r>
    </w:p>
    <w:p>
      <w:pPr>
        <w:pStyle w:val="65"/>
        <w:spacing w:before="156" w:after="156"/>
        <w:rPr>
          <w:rFonts w:ascii="宋体" w:hAnsi="宋体" w:eastAsia="宋体" w:cs="宋体"/>
        </w:rPr>
      </w:pPr>
      <w:r>
        <w:rPr>
          <w:rFonts w:hint="eastAsia" w:ascii="宋体" w:hAnsi="宋体" w:eastAsia="宋体" w:cs="宋体"/>
        </w:rPr>
        <w:t>加强柜面风险识别。为老年客户开立账户应关注是否有可疑人员陪同、有他人组织开户等可疑情况，确认该账户是否为本人使用。办理开户、取现、电子银行业务及转账汇款等业务时如遇疑似诈骗情况，应及时进行必要的防诈骗风险提示，并视情况妥善有效处理。老年客户在网上银行、手机银行、智能柜台等线上渠道转账的，相关风险提示应完整醒目。</w:t>
      </w:r>
    </w:p>
    <w:p>
      <w:pPr>
        <w:pStyle w:val="65"/>
        <w:spacing w:before="156" w:after="156"/>
        <w:rPr>
          <w:rFonts w:ascii="宋体" w:hAnsi="宋体" w:eastAsia="宋体" w:cs="宋体"/>
        </w:rPr>
      </w:pPr>
      <w:r>
        <w:rPr>
          <w:rFonts w:hint="eastAsia" w:ascii="宋体" w:hAnsi="宋体" w:eastAsia="宋体" w:cs="宋体"/>
        </w:rPr>
        <w:t>通过培训使员工熟知业务种类、产品特性、办理流程等，能准确熟练向老年客户介绍产品；能以浅显易懂的语言，耐心专业解答老年客户的咨询和疑问。</w:t>
      </w:r>
    </w:p>
    <w:p>
      <w:pPr>
        <w:pStyle w:val="104"/>
        <w:spacing w:before="312" w:after="312"/>
      </w:pPr>
      <w:bookmarkStart w:id="237" w:name="_Toc151369780"/>
      <w:bookmarkStart w:id="238" w:name="_Toc151126852"/>
      <w:bookmarkStart w:id="239" w:name="_Toc151280228"/>
      <w:r>
        <w:rPr>
          <w:rFonts w:hint="eastAsia"/>
        </w:rPr>
        <w:t>评价与结果运用</w:t>
      </w:r>
      <w:bookmarkEnd w:id="237"/>
      <w:bookmarkEnd w:id="238"/>
      <w:bookmarkEnd w:id="239"/>
    </w:p>
    <w:p>
      <w:pPr>
        <w:pStyle w:val="105"/>
        <w:spacing w:before="156" w:after="156"/>
      </w:pPr>
      <w:bookmarkStart w:id="240" w:name="_Toc151280229"/>
      <w:bookmarkStart w:id="241" w:name="_Toc151126854"/>
      <w:r>
        <w:rPr>
          <w:rFonts w:hint="eastAsia"/>
        </w:rPr>
        <w:t>结果运用</w:t>
      </w:r>
      <w:bookmarkEnd w:id="240"/>
      <w:bookmarkEnd w:id="241"/>
    </w:p>
    <w:p>
      <w:pPr>
        <w:pStyle w:val="105"/>
        <w:spacing w:before="156" w:after="156"/>
      </w:pPr>
      <w:bookmarkStart w:id="242" w:name="_Toc151280230"/>
      <w:bookmarkStart w:id="243" w:name="_Toc151126853"/>
      <w:r>
        <w:rPr>
          <w:rFonts w:hint="eastAsia"/>
        </w:rPr>
        <w:t>适老化金融服务评估</w:t>
      </w:r>
      <w:bookmarkEnd w:id="242"/>
      <w:bookmarkEnd w:id="243"/>
    </w:p>
    <w:p>
      <w:pPr>
        <w:pStyle w:val="55"/>
        <w:ind w:firstLine="420"/>
      </w:pPr>
      <w:r>
        <w:rPr>
          <w:rFonts w:hint="eastAsia"/>
        </w:rPr>
        <w:t>本指南可用于银行业金融机构内部提升适老化金融服务能力，也可用于银行卡业协会用于对会员单位营业网点的适老化金融服务水平进行评估与管理。评估指标可参考附录A。</w:t>
      </w:r>
    </w:p>
    <w:p>
      <w:pPr>
        <w:pStyle w:val="65"/>
        <w:spacing w:before="156" w:after="156"/>
        <w:rPr>
          <w:rFonts w:ascii="宋体" w:hAnsi="宋体" w:eastAsia="宋体" w:cs="宋体"/>
        </w:rPr>
      </w:pPr>
      <w:r>
        <w:rPr>
          <w:rFonts w:hint="eastAsia" w:ascii="宋体" w:hAnsi="宋体" w:eastAsia="宋体" w:cs="宋体"/>
        </w:rPr>
        <w:t>标准化金融服务适老化体系，从多角度细化服务适老化要求，系统指导银行业金融机构开展适老化金融建设与改造，为银行业金融机构持续性改进金融服务适老化提供参考。</w:t>
      </w:r>
    </w:p>
    <w:p>
      <w:pPr>
        <w:pStyle w:val="65"/>
        <w:spacing w:before="156" w:after="156"/>
        <w:rPr>
          <w:rFonts w:ascii="宋体" w:hAnsi="宋体" w:eastAsia="宋体" w:cs="宋体"/>
        </w:rPr>
      </w:pPr>
      <w:r>
        <w:rPr>
          <w:rFonts w:hint="eastAsia" w:ascii="宋体" w:hAnsi="宋体" w:eastAsia="宋体" w:cs="宋体"/>
        </w:rPr>
        <w:t>为银行业金融机构培训、指导员工提供适老化服务可参考的指导意见与依据。</w:t>
      </w:r>
    </w:p>
    <w:p>
      <w:pPr>
        <w:pStyle w:val="65"/>
        <w:spacing w:before="156" w:after="156"/>
        <w:rPr>
          <w:rFonts w:ascii="宋体" w:hAnsi="宋体" w:eastAsia="宋体" w:cs="宋体"/>
        </w:rPr>
      </w:pPr>
      <w:r>
        <w:rPr>
          <w:rFonts w:hint="eastAsia" w:ascii="宋体" w:hAnsi="宋体" w:eastAsia="宋体" w:cs="宋体"/>
        </w:rPr>
        <w:t>以指南为抓手，创建、评选银行业金融机构适老化服务示范网点,悬挂标识牌。标识牌样式可参考附录B。</w:t>
      </w:r>
    </w:p>
    <w:p>
      <w:pPr>
        <w:pStyle w:val="56"/>
        <w:ind w:firstLine="420"/>
        <w:sectPr>
          <w:pgSz w:w="11906" w:h="16838"/>
          <w:pgMar w:top="2410" w:right="1134" w:bottom="1134" w:left="1134" w:header="1418" w:footer="1134" w:gutter="284"/>
          <w:pgNumType w:start="1"/>
          <w:cols w:space="425" w:num="1"/>
          <w:formProt w:val="0"/>
          <w:docGrid w:type="lines" w:linePitch="312" w:charSpace="0"/>
        </w:sectPr>
      </w:pPr>
      <w:bookmarkStart w:id="244" w:name="_Toc151126856"/>
      <w:bookmarkEnd w:id="244"/>
      <w:bookmarkStart w:id="245" w:name="_Toc151280232"/>
      <w:bookmarkEnd w:id="245"/>
    </w:p>
    <w:bookmarkEnd w:id="30"/>
    <w:p>
      <w:pPr>
        <w:pStyle w:val="198"/>
      </w:pPr>
      <w:bookmarkStart w:id="246" w:name="BookMark5"/>
    </w:p>
    <w:p>
      <w:pPr>
        <w:pStyle w:val="199"/>
      </w:pPr>
    </w:p>
    <w:p>
      <w:pPr>
        <w:pStyle w:val="76"/>
        <w:spacing w:before="78" w:after="156"/>
        <w:rPr>
          <w:rFonts w:hint="eastAsia"/>
        </w:rPr>
      </w:pPr>
      <w:bookmarkStart w:id="247" w:name="_Toc151369781"/>
    </w:p>
    <w:p>
      <w:pPr>
        <w:pStyle w:val="76"/>
        <w:numPr>
          <w:numId w:val="0"/>
        </w:numPr>
        <w:spacing w:before="78" w:after="156"/>
        <w:ind w:leftChars="0" w:firstLine="4200" w:firstLineChars="2000"/>
        <w:jc w:val="both"/>
        <w:rPr>
          <w:rFonts w:hint="eastAsia"/>
        </w:rPr>
      </w:pPr>
      <w:r>
        <w:rPr>
          <w:rFonts w:hint="eastAsia"/>
        </w:rPr>
        <w:t>（资料性）</w:t>
      </w:r>
    </w:p>
    <w:p>
      <w:pPr>
        <w:pStyle w:val="76"/>
        <w:numPr>
          <w:numId w:val="0"/>
        </w:numPr>
        <w:spacing w:before="78" w:after="156"/>
        <w:ind w:leftChars="0" w:firstLine="2940" w:firstLineChars="1400"/>
        <w:jc w:val="both"/>
        <w:rPr>
          <w:rFonts w:hint="eastAsia"/>
        </w:rPr>
      </w:pPr>
      <w:r>
        <w:rPr>
          <w:rFonts w:hint="eastAsia"/>
        </w:rPr>
        <w:t>银行业适老化服务示范网点评分表</w:t>
      </w:r>
      <w:bookmarkEnd w:id="247"/>
    </w:p>
    <w:p>
      <w:pPr>
        <w:pStyle w:val="56"/>
        <w:ind w:firstLine="420"/>
        <w:rPr>
          <w:rFonts w:hint="eastAsia"/>
        </w:rPr>
      </w:pPr>
      <w:r>
        <w:rPr>
          <w:rFonts w:hint="eastAsia"/>
        </w:rPr>
        <w:t>银行业适老化服务示范网点评分工作见表A.1。</w:t>
      </w:r>
    </w:p>
    <w:p>
      <w:pPr>
        <w:pStyle w:val="77"/>
        <w:spacing w:before="156" w:after="156"/>
      </w:pPr>
      <w:r>
        <w:rPr>
          <w:rFonts w:hint="eastAsia"/>
        </w:rPr>
        <w:t>银行业适老化服务示范网点评分表</w:t>
      </w:r>
    </w:p>
    <w:tbl>
      <w:tblPr>
        <w:tblStyle w:val="26"/>
        <w:tblW w:w="9464" w:type="dxa"/>
        <w:tblInd w:w="0" w:type="dxa"/>
        <w:tblLayout w:type="autofit"/>
        <w:tblCellMar>
          <w:top w:w="0" w:type="dxa"/>
          <w:left w:w="108" w:type="dxa"/>
          <w:bottom w:w="0" w:type="dxa"/>
          <w:right w:w="108" w:type="dxa"/>
        </w:tblCellMar>
      </w:tblPr>
      <w:tblGrid>
        <w:gridCol w:w="988"/>
        <w:gridCol w:w="992"/>
        <w:gridCol w:w="6804"/>
        <w:gridCol w:w="680"/>
      </w:tblGrid>
      <w:tr>
        <w:tblPrEx>
          <w:tblCellMar>
            <w:top w:w="0" w:type="dxa"/>
            <w:left w:w="108" w:type="dxa"/>
            <w:bottom w:w="0" w:type="dxa"/>
            <w:right w:w="108" w:type="dxa"/>
          </w:tblCellMar>
        </w:tblPrEx>
        <w:trPr>
          <w:trHeight w:val="654"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一级指标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二级指标</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评分细则</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得分</w:t>
            </w:r>
          </w:p>
        </w:tc>
      </w:tr>
      <w:tr>
        <w:tblPrEx>
          <w:tblCellMar>
            <w:top w:w="0" w:type="dxa"/>
            <w:left w:w="108" w:type="dxa"/>
            <w:bottom w:w="0" w:type="dxa"/>
            <w:right w:w="108" w:type="dxa"/>
          </w:tblCellMar>
        </w:tblPrEx>
        <w:trPr>
          <w:trHeight w:val="576"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组织管理</w:t>
            </w:r>
            <w:r>
              <w:rPr>
                <w:rFonts w:ascii="宋体" w:hAnsi="宋体" w:cs="宋体"/>
                <w:color w:val="000000"/>
                <w:kern w:val="0"/>
                <w:sz w:val="18"/>
                <w:szCs w:val="18"/>
              </w:rPr>
              <w:t>（10分）</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组织管理</w:t>
            </w:r>
            <w:r>
              <w:rPr>
                <w:rFonts w:ascii="宋体" w:hAnsi="宋体" w:cs="宋体"/>
                <w:color w:val="000000"/>
                <w:kern w:val="0"/>
                <w:sz w:val="18"/>
                <w:szCs w:val="18"/>
              </w:rPr>
              <w:t>（10分）</w:t>
            </w:r>
          </w:p>
        </w:tc>
        <w:tc>
          <w:tcPr>
            <w:tcW w:w="6804" w:type="dxa"/>
            <w:tcBorders>
              <w:top w:val="single" w:color="000000" w:sz="4" w:space="0"/>
              <w:left w:val="single" w:color="000000" w:sz="4" w:space="0"/>
              <w:bottom w:val="nil"/>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1.管辖行落实主体责任，组织保障健全，责任部门明确，统筹推进金融服务适老化工作。(3分)</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76"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top w:val="nil"/>
              <w:left w:val="single" w:color="000000" w:sz="4" w:space="0"/>
              <w:bottom w:val="nil"/>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2.建立适老化工作联动小组，加强信息沟通，及时解决老年人急难愁盼的问题，积极处理老年人的相关投诉，营造良好的适老化支付环境。(3分)</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76"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top w:val="nil"/>
              <w:left w:val="single" w:color="000000" w:sz="4" w:space="0"/>
              <w:bottom w:val="nil"/>
              <w:right w:val="single" w:color="000000" w:sz="4" w:space="0"/>
            </w:tcBorders>
            <w:shd w:val="clear" w:color="auto" w:fill="auto"/>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3.结合老年客户分布和实际需求，管辖行合理优化网点布局，在老年人口聚集的乡镇有银行网点或者农村普惠金融服务点。(2分)</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4.是否定期对老年人信息保护工作开展自查。（2分）</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营业网点服务 (58分)</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服务提供（23分）</w:t>
            </w:r>
          </w:p>
        </w:tc>
        <w:tc>
          <w:tcPr>
            <w:tcW w:w="6804" w:type="dxa"/>
            <w:tcBorders>
              <w:top w:val="single" w:color="000000" w:sz="4" w:space="0"/>
              <w:left w:val="single" w:color="000000" w:sz="4" w:space="0"/>
              <w:bottom w:val="nil"/>
              <w:right w:val="single" w:color="000000" w:sz="4" w:space="0"/>
            </w:tcBorders>
            <w:shd w:val="clear" w:color="auto" w:fill="auto"/>
            <w:noWrap/>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1.能够按照公示的时间营业，保证服务时长。（2分）</w:t>
            </w:r>
          </w:p>
        </w:tc>
        <w:tc>
          <w:tcPr>
            <w:tcW w:w="6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top w:val="nil"/>
              <w:left w:val="single" w:color="000000" w:sz="4" w:space="0"/>
              <w:bottom w:val="nil"/>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2.开通老年客户金融业务办理绿色通道且有明确标识。（2分）</w:t>
            </w:r>
          </w:p>
        </w:tc>
        <w:tc>
          <w:tcPr>
            <w:tcW w:w="680" w:type="dxa"/>
            <w:vMerge w:val="continue"/>
            <w:tcBorders>
              <w:top w:val="nil"/>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76"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top w:val="nil"/>
              <w:left w:val="single" w:color="000000" w:sz="4" w:space="0"/>
              <w:bottom w:val="nil"/>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3.提供老花镜、爱心伞、放大镜、清凉油、书写交流板、老人专座等适老化设施。加强无障碍设施建设，为老年客户提供轮椅服务。（3分）</w:t>
            </w:r>
          </w:p>
        </w:tc>
        <w:tc>
          <w:tcPr>
            <w:tcW w:w="680" w:type="dxa"/>
            <w:vMerge w:val="continue"/>
            <w:tcBorders>
              <w:top w:val="nil"/>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top w:val="nil"/>
              <w:left w:val="single" w:color="000000" w:sz="4" w:space="0"/>
              <w:bottom w:val="nil"/>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4.老年客户进厅堂办理业务，业务导办人员应主动进行引导和协助。（2分）</w:t>
            </w:r>
          </w:p>
        </w:tc>
        <w:tc>
          <w:tcPr>
            <w:tcW w:w="680" w:type="dxa"/>
            <w:vMerge w:val="continue"/>
            <w:tcBorders>
              <w:top w:val="nil"/>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top w:val="nil"/>
              <w:left w:val="single" w:color="000000" w:sz="4" w:space="0"/>
              <w:bottom w:val="nil"/>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5.延长老年客户叫号后柜面等待的时间。（3分）</w:t>
            </w:r>
          </w:p>
        </w:tc>
        <w:tc>
          <w:tcPr>
            <w:tcW w:w="680" w:type="dxa"/>
            <w:vMerge w:val="continue"/>
            <w:tcBorders>
              <w:top w:val="nil"/>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top w:val="nil"/>
              <w:left w:val="single" w:color="000000" w:sz="4" w:space="0"/>
              <w:bottom w:val="nil"/>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6.提供预约服务，优先为有特殊需要的老年客户办理业务。（2分）</w:t>
            </w:r>
          </w:p>
        </w:tc>
        <w:tc>
          <w:tcPr>
            <w:tcW w:w="680" w:type="dxa"/>
            <w:vMerge w:val="continue"/>
            <w:tcBorders>
              <w:top w:val="nil"/>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864"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top w:val="nil"/>
              <w:left w:val="single" w:color="000000" w:sz="4" w:space="0"/>
              <w:bottom w:val="nil"/>
              <w:right w:val="single" w:color="000000" w:sz="4" w:space="0"/>
            </w:tcBorders>
            <w:shd w:val="clear" w:color="auto" w:fill="auto"/>
            <w:vAlign w:val="center"/>
          </w:tcPr>
          <w:p>
            <w:pPr>
              <w:widowControl/>
              <w:adjustRightInd/>
              <w:spacing w:line="240" w:lineRule="auto"/>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7.为老年客户提供上门、远程视频等安全、便利的服务方式。（2分）</w:t>
            </w:r>
          </w:p>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上门服务的种类包括但不限于：开卡、换卡申请、个人网银开通、手机银行转账开通、缴费权限开通、客户证件更新、密码重置等。</w:t>
            </w:r>
          </w:p>
        </w:tc>
        <w:tc>
          <w:tcPr>
            <w:tcW w:w="680" w:type="dxa"/>
            <w:vMerge w:val="continue"/>
            <w:tcBorders>
              <w:top w:val="nil"/>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top w:val="nil"/>
              <w:left w:val="single" w:color="000000" w:sz="4" w:space="0"/>
              <w:bottom w:val="nil"/>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8.以多种渠道对外公示老年客户支付结算业务办理保障措施。（2分）</w:t>
            </w:r>
          </w:p>
        </w:tc>
        <w:tc>
          <w:tcPr>
            <w:tcW w:w="680" w:type="dxa"/>
            <w:vMerge w:val="continue"/>
            <w:tcBorders>
              <w:top w:val="nil"/>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top w:val="nil"/>
              <w:left w:val="single" w:color="000000" w:sz="4" w:space="0"/>
              <w:bottom w:val="nil"/>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9.网点合理配置面额不一的小额现钞，满足老年客户的现金需求。（2分）</w:t>
            </w:r>
          </w:p>
        </w:tc>
        <w:tc>
          <w:tcPr>
            <w:tcW w:w="680" w:type="dxa"/>
            <w:vMerge w:val="continue"/>
            <w:tcBorders>
              <w:top w:val="nil"/>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76"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top w:val="nil"/>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10.网点便利化办理存折，提供自助打印等功能，及时为老年客户解读存折内容。（3分）</w:t>
            </w:r>
          </w:p>
        </w:tc>
        <w:tc>
          <w:tcPr>
            <w:tcW w:w="680" w:type="dxa"/>
            <w:vMerge w:val="continue"/>
            <w:tcBorders>
              <w:top w:val="nil"/>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76"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业务办理（15分）</w:t>
            </w:r>
          </w:p>
        </w:tc>
        <w:tc>
          <w:tcPr>
            <w:tcW w:w="6804" w:type="dxa"/>
            <w:tcBorders>
              <w:top w:val="single" w:color="000000" w:sz="4" w:space="0"/>
              <w:left w:val="single" w:color="000000" w:sz="4" w:space="0"/>
              <w:bottom w:val="nil"/>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1.安排亲和力强、能够使用当地方言进行交流的服务人员为老年客户提供服务。（2分）</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p>
        </w:tc>
      </w:tr>
      <w:tr>
        <w:tblPrEx>
          <w:tblCellMar>
            <w:top w:w="0" w:type="dxa"/>
            <w:left w:w="108" w:type="dxa"/>
            <w:bottom w:w="0" w:type="dxa"/>
            <w:right w:w="108" w:type="dxa"/>
          </w:tblCellMar>
        </w:tblPrEx>
        <w:trPr>
          <w:trHeight w:val="576"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top w:val="nil"/>
              <w:left w:val="single" w:color="000000" w:sz="4" w:space="0"/>
              <w:bottom w:val="nil"/>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2.实行“首问负责制”，不推诿和搪塞老年客户，详细解释流程和政策，耐心答复需求和问题。（2分）</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76"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top w:val="nil"/>
              <w:left w:val="single" w:color="000000" w:sz="4" w:space="0"/>
              <w:bottom w:val="nil"/>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3.尊重老年客户对传统柜面服务方式的选择，对于习惯使用和愿意尝试使用智能设备的客户应做好业务指导和帮助。（3分）</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top w:val="nil"/>
              <w:left w:val="single" w:color="000000" w:sz="4" w:space="0"/>
              <w:bottom w:val="nil"/>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4.对柜面人员、大堂经理、理财经理开展老年服务技能和业务培训。（2分）</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76"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top w:val="nil"/>
              <w:left w:val="single" w:color="000000" w:sz="4" w:space="0"/>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5.社保卡激活、社保资金发放、养老金领取等老年客户阶段性集中业务办理时，采取有效措施，灵活安排人力，减少等待时间。（2分）</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864"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top w:val="nil"/>
              <w:left w:val="single" w:color="000000" w:sz="4" w:space="0"/>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6.在密码重置、签字确认、卡折挂失等环节增加人脸或指纹识别等替代服务，作为手工签名、支付密码的补充形式，解决老年客户因文化水平或身体状况不便的情况下无法签名、遗忘密码等问题。（2分）</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bl>
    <w:p/>
    <w:p>
      <w:pPr>
        <w:pStyle w:val="77"/>
        <w:numPr>
          <w:ilvl w:val="0"/>
          <w:numId w:val="0"/>
        </w:numPr>
        <w:spacing w:before="156" w:after="156"/>
      </w:pPr>
      <w:r>
        <w:rPr>
          <w:rFonts w:hint="eastAsia"/>
        </w:rPr>
        <w:t>表A.1 银行业适老化服务示范网点评分表（续）</w:t>
      </w:r>
    </w:p>
    <w:tbl>
      <w:tblPr>
        <w:tblStyle w:val="26"/>
        <w:tblW w:w="9464" w:type="dxa"/>
        <w:tblInd w:w="0" w:type="dxa"/>
        <w:tblLayout w:type="autofit"/>
        <w:tblCellMar>
          <w:top w:w="0" w:type="dxa"/>
          <w:left w:w="108" w:type="dxa"/>
          <w:bottom w:w="0" w:type="dxa"/>
          <w:right w:w="108" w:type="dxa"/>
        </w:tblCellMar>
      </w:tblPr>
      <w:tblGrid>
        <w:gridCol w:w="988"/>
        <w:gridCol w:w="992"/>
        <w:gridCol w:w="6804"/>
        <w:gridCol w:w="680"/>
      </w:tblGrid>
      <w:tr>
        <w:tblPrEx>
          <w:tblCellMar>
            <w:top w:w="0" w:type="dxa"/>
            <w:left w:w="108" w:type="dxa"/>
            <w:bottom w:w="0" w:type="dxa"/>
            <w:right w:w="108" w:type="dxa"/>
          </w:tblCellMar>
        </w:tblPrEx>
        <w:trPr>
          <w:trHeight w:val="576" w:hRule="atLeast"/>
        </w:trPr>
        <w:tc>
          <w:tcPr>
            <w:tcW w:w="98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7.梳理整合各类业务申请书、办理协议、业务授权等，在守住风险底线的前提下，优化老年客户各类业务办理流程。（2分）</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99"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网点智能化设备服务 （12分）</w:t>
            </w:r>
          </w:p>
        </w:tc>
        <w:tc>
          <w:tcPr>
            <w:tcW w:w="6804" w:type="dxa"/>
            <w:tcBorders>
              <w:top w:val="single" w:color="000000" w:sz="4" w:space="0"/>
              <w:left w:val="single" w:color="000000" w:sz="4" w:space="0"/>
              <w:bottom w:val="nil"/>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1.STM、ATM等智能化服务自助机具界面友好、设置合理，业务操作流程清晰准确，至少有一台智能机具有超大字体、语音提示、老年客户专版等功能。（5分）</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76"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top w:val="nil"/>
              <w:left w:val="single" w:color="000000" w:sz="4" w:space="0"/>
              <w:bottom w:val="nil"/>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2.老年客户办理自助业务时可根据需要专人全程引导办理，提高业务处理效率。（4分）</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81"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top w:val="nil"/>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3.自助设备使用过程中，合理调度，缩短老年客户业务等待排队时间。（3分）</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网点应急措施 （8分）</w:t>
            </w:r>
          </w:p>
        </w:tc>
        <w:tc>
          <w:tcPr>
            <w:tcW w:w="6804" w:type="dxa"/>
            <w:tcBorders>
              <w:top w:val="single" w:color="000000" w:sz="4" w:space="0"/>
              <w:left w:val="single" w:color="000000" w:sz="4" w:space="0"/>
              <w:bottom w:val="nil"/>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1.营业网点重视突发事件的应急管理，制定应急措施。（4分）</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top w:val="nil"/>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2.员工熟知应急处理流程，具有针对老年特殊群体的应急处理能力。（4分）</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76"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移动支付服务 （12分）</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移动支付产品 （6分）</w:t>
            </w:r>
          </w:p>
        </w:tc>
        <w:tc>
          <w:tcPr>
            <w:tcW w:w="6804" w:type="dxa"/>
            <w:tcBorders>
              <w:top w:val="single" w:color="000000" w:sz="4" w:space="0"/>
              <w:left w:val="single" w:color="000000" w:sz="4" w:space="0"/>
              <w:bottom w:val="nil"/>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1.移动支付客户端提供老年移动支付产品板块，使用大字体、流程简洁、容易接受。（2分）</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76"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top w:val="nil"/>
              <w:left w:val="single" w:color="000000" w:sz="4" w:space="0"/>
              <w:bottom w:val="nil"/>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2.老年移动支付板块一次性提供所需产品，并在首页界面或常用交易界面展示。（2分）</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top w:val="nil"/>
              <w:left w:val="single" w:color="000000" w:sz="4" w:space="0"/>
              <w:bottom w:val="nil"/>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3.移动支付流程适合老年客户的需求和特点。（1分）</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76"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top w:val="nil"/>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4.老年移动支付产品由专人负责运维并及时优化产品和业务办理流程。（1分）</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机具配置 （2分）</w:t>
            </w:r>
          </w:p>
        </w:tc>
        <w:tc>
          <w:tcPr>
            <w:tcW w:w="6804" w:type="dxa"/>
            <w:tcBorders>
              <w:top w:val="single" w:color="000000" w:sz="4" w:space="0"/>
              <w:left w:val="single" w:color="000000" w:sz="4" w:space="0"/>
              <w:bottom w:val="nil"/>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1.收单机具配备语音播报功能，且声音大。（1分）</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top w:val="nil"/>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2.收单机具界面简单、字体较大、屏显清晰、操作便捷。（1分）</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移动支付体验 （2分）</w:t>
            </w:r>
          </w:p>
        </w:tc>
        <w:tc>
          <w:tcPr>
            <w:tcW w:w="6804" w:type="dxa"/>
            <w:tcBorders>
              <w:top w:val="single" w:color="000000" w:sz="4" w:space="0"/>
              <w:left w:val="single" w:color="000000" w:sz="4" w:space="0"/>
              <w:bottom w:val="nil"/>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1.设立移动支付体验区，张贴移动支付操作流程图。（1分）</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76"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top w:val="nil"/>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2.体验区内布放知识普及手册，网点人员提供面对面使用指导，增加便利度。（1分）</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76"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移动支付场景 （2分）</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在菜场、医院、公交、地铁等老年客户高频支付场景积极推进支付交易适老化应用。（2分）</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权益保障 （8分）</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投诉渠道 （2分）</w:t>
            </w:r>
          </w:p>
        </w:tc>
        <w:tc>
          <w:tcPr>
            <w:tcW w:w="6804" w:type="dxa"/>
            <w:tcBorders>
              <w:top w:val="single" w:color="000000" w:sz="4" w:space="0"/>
              <w:left w:val="single" w:color="000000" w:sz="4" w:space="0"/>
              <w:bottom w:val="nil"/>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1.网点放置客户意见簿、设置投诉电话。（1分）</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top w:val="nil"/>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2.24小时内响应并回复老年客户的意见建议和投诉。（1分）</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76"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服务热线 （2分）</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服务电话中设置老年专线，安排专人听取老年客户支付服务需求，处理业务纠纷和投诉。（2分）</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864"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客户回访 （1分）</w:t>
            </w:r>
          </w:p>
        </w:tc>
        <w:tc>
          <w:tcPr>
            <w:tcW w:w="6804" w:type="dxa"/>
            <w:tcBorders>
              <w:top w:val="nil"/>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定期进行老年客户满意度调查，征求客户意见、建议和需求，相关信息记录真实、完整，分析、反馈、报告及时，根据回访结果改进老年金融服务。（1分）</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76"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客户管理 （3分）</w:t>
            </w:r>
          </w:p>
        </w:tc>
        <w:tc>
          <w:tcPr>
            <w:tcW w:w="6804" w:type="dxa"/>
            <w:tcBorders>
              <w:top w:val="single" w:color="000000" w:sz="4" w:space="0"/>
              <w:left w:val="single" w:color="000000" w:sz="4" w:space="0"/>
              <w:bottom w:val="nil"/>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1.对老年客户进行分类管理，根据客户活跃程度及业务习惯，提供针对性的服务。（1分）</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76"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top w:val="nil"/>
              <w:left w:val="single" w:color="000000" w:sz="4" w:space="0"/>
              <w:bottom w:val="nil"/>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2.对风险评估为中高风险的老年客户，及时告知金融产品风险，协助老年客户赎回金融产品。（1分）</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76"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top w:val="nil"/>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3.将老年人购买中高风险理财产品作为银行内部风险管控和事后监督的重点。（1分）</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76"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宣传与营销     （12分）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金融知识宣传       （5分）</w:t>
            </w:r>
          </w:p>
        </w:tc>
        <w:tc>
          <w:tcPr>
            <w:tcW w:w="680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1.在营业大厅通过宣传画、游动字幕、视频播放、折页等开展老年金融服务知识宣传，宣传内容恰当合宜。（1分）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p>
        </w:tc>
      </w:tr>
    </w:tbl>
    <w:p>
      <w:pPr>
        <w:pStyle w:val="77"/>
        <w:numPr>
          <w:ilvl w:val="0"/>
          <w:numId w:val="0"/>
        </w:numPr>
        <w:spacing w:before="156" w:after="156"/>
      </w:pPr>
      <w:r>
        <w:rPr>
          <w:rFonts w:hint="eastAsia"/>
        </w:rPr>
        <w:t>表A.1 银行业适老化服务示范网点评分表（续）</w:t>
      </w:r>
    </w:p>
    <w:tbl>
      <w:tblPr>
        <w:tblStyle w:val="26"/>
        <w:tblW w:w="9464" w:type="dxa"/>
        <w:tblInd w:w="0" w:type="dxa"/>
        <w:tblLayout w:type="autofit"/>
        <w:tblCellMar>
          <w:top w:w="0" w:type="dxa"/>
          <w:left w:w="108" w:type="dxa"/>
          <w:bottom w:w="0" w:type="dxa"/>
          <w:right w:w="108" w:type="dxa"/>
        </w:tblCellMar>
      </w:tblPr>
      <w:tblGrid>
        <w:gridCol w:w="988"/>
        <w:gridCol w:w="992"/>
        <w:gridCol w:w="6804"/>
        <w:gridCol w:w="680"/>
      </w:tblGrid>
      <w:tr>
        <w:tblPrEx>
          <w:tblCellMar>
            <w:top w:w="0" w:type="dxa"/>
            <w:left w:w="108" w:type="dxa"/>
            <w:bottom w:w="0" w:type="dxa"/>
            <w:right w:w="108" w:type="dxa"/>
          </w:tblCellMar>
        </w:tblPrEx>
        <w:trPr>
          <w:trHeight w:val="864" w:hRule="atLeast"/>
        </w:trPr>
        <w:tc>
          <w:tcPr>
            <w:tcW w:w="98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top w:val="single" w:color="auto" w:sz="4" w:space="0"/>
              <w:left w:val="single" w:color="000000" w:sz="4" w:space="0"/>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2.每季度通过社区共建结对、与老年大学合作、进乡入镇等形式开展一次老年金融产品和服务、打击电信诈骗、支付安全、防范非法集资等金融知识宣传。（1分）</w:t>
            </w: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864"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left w:val="single" w:color="000000" w:sz="4" w:space="0"/>
              <w:bottom w:val="nil"/>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3.制作简明的教学视频、美篇或易企秀等，通过线上直播、微信公众号等渠道，开展面向老年客户的银行卡支付、移动支付、手机银行等知识宣传普及，帮助老年客户熟悉支付产品与服务的使用流程。（1分）</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76"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top w:val="nil"/>
              <w:left w:val="single" w:color="000000" w:sz="4" w:space="0"/>
              <w:bottom w:val="nil"/>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4.建立畅通的咨询服务渠道，及时答复老年客户疑问，提高老年客户风险和自我保护能力，形成长效机制。（1分）</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1152"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top w:val="nil"/>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5.履行安全用卡告知义务。（1分）</w:t>
            </w:r>
          </w:p>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老年客户开立账户时，告知其出租、出借、出售、购买银行账户的危害性和惩戒措施，并与其签订《开设银行结算账户涉通讯网络新型违法犯罪法律责任及防范提示告知书》。</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864"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老年金融产品营销 （7分）</w:t>
            </w:r>
          </w:p>
        </w:tc>
        <w:tc>
          <w:tcPr>
            <w:tcW w:w="6804" w:type="dxa"/>
            <w:tcBorders>
              <w:top w:val="single" w:color="000000" w:sz="4" w:space="0"/>
              <w:left w:val="single" w:color="000000" w:sz="4" w:space="0"/>
              <w:bottom w:val="nil"/>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1.在销售金融产品或提供金融服务时，如实介绍产品信息，真实全面揭示风险，尊重老年客户的自主选择权和公平交易权，不误导销售、强制交易，不开展不当金融营销宣传。（1分）</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864"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top w:val="nil"/>
              <w:left w:val="single" w:color="000000" w:sz="4" w:space="0"/>
              <w:bottom w:val="nil"/>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2.老年客户购买基金、保险、黄金、理财产品等前应开展风险评估，确保个人投资者风险承受能力测评问卷每个测评项为客户本人真实的意思表示。（1分）</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76"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top w:val="nil"/>
              <w:left w:val="single" w:color="000000" w:sz="4" w:space="0"/>
              <w:bottom w:val="nil"/>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3.不提供或推荐与其风险承受能力不相符合的产品和服务；线上渠道购买产品与其风险承受能力不匹配的系统应明确提示并经客户确认。（1分）</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1152"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top w:val="nil"/>
              <w:left w:val="single" w:color="000000" w:sz="4" w:space="0"/>
              <w:bottom w:val="nil"/>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4.在产品销售过程同步录音录像，完整客观地记录营销推介、相关风险和关键信息提示、客户确认和反馈等重点销售环节；录制过程中保护老年客户隐私，妥善留存老年客户已明确知晓产品重要属性和风险信息的相关证据。（2分）</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76"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top w:val="nil"/>
              <w:left w:val="single" w:color="000000" w:sz="4" w:space="0"/>
              <w:bottom w:val="nil"/>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5.加强柜面风险识别。为老年客户开立账户应关注是否有可疑人员陪同、有他人组织开户等可疑情况，确保账户为本人使用。（1分）</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76"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c>
          <w:tcPr>
            <w:tcW w:w="6804" w:type="dxa"/>
            <w:tcBorders>
              <w:top w:val="nil"/>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6.办理开户、取现、电子银行业务及转账汇款等业务时如遇疑似诈骗情况，应及时进行必要的防诈骗风险提示，并视情况妥善有效处理。（1分）</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rPr>
                <w:rFonts w:ascii="宋体" w:hAnsi="宋体" w:cs="宋体"/>
                <w:color w:val="000000"/>
                <w:kern w:val="0"/>
                <w:sz w:val="18"/>
                <w:szCs w:val="18"/>
              </w:rPr>
            </w:pPr>
          </w:p>
        </w:tc>
      </w:tr>
    </w:tbl>
    <w:p>
      <w:pPr>
        <w:pStyle w:val="56"/>
        <w:ind w:firstLine="420"/>
        <w:sectPr>
          <w:pgSz w:w="11906" w:h="16838"/>
          <w:pgMar w:top="2410" w:right="1134" w:bottom="1134" w:left="1134" w:header="1418" w:footer="1134" w:gutter="284"/>
          <w:cols w:space="425" w:num="1"/>
          <w:formProt w:val="0"/>
          <w:docGrid w:type="lines" w:linePitch="312" w:charSpace="0"/>
        </w:sectPr>
      </w:pPr>
    </w:p>
    <w:p>
      <w:pPr>
        <w:pStyle w:val="198"/>
      </w:pPr>
    </w:p>
    <w:p>
      <w:pPr>
        <w:pStyle w:val="199"/>
      </w:pPr>
    </w:p>
    <w:p>
      <w:pPr>
        <w:pStyle w:val="76"/>
        <w:spacing w:before="78" w:after="156"/>
        <w:rPr>
          <w:rFonts w:hint="eastAsia"/>
        </w:rPr>
      </w:pPr>
      <w:bookmarkStart w:id="248" w:name="_Toc151369782"/>
    </w:p>
    <w:p>
      <w:pPr>
        <w:pStyle w:val="76"/>
        <w:numPr>
          <w:numId w:val="0"/>
        </w:numPr>
        <w:spacing w:before="78" w:after="156"/>
        <w:ind w:leftChars="0" w:firstLine="3990" w:firstLineChars="1900"/>
        <w:jc w:val="both"/>
        <w:rPr>
          <w:rFonts w:hint="eastAsia"/>
        </w:rPr>
      </w:pPr>
      <w:r>
        <w:rPr>
          <w:rFonts w:hint="eastAsia"/>
        </w:rPr>
        <w:t>（资料性）</w:t>
      </w:r>
    </w:p>
    <w:p>
      <w:pPr>
        <w:pStyle w:val="76"/>
        <w:numPr>
          <w:numId w:val="0"/>
        </w:numPr>
        <w:spacing w:before="78" w:after="156"/>
        <w:ind w:leftChars="0" w:firstLine="2730" w:firstLineChars="1300"/>
        <w:jc w:val="both"/>
        <w:rPr>
          <w:rFonts w:hint="eastAsia"/>
        </w:rPr>
      </w:pPr>
      <w:r>
        <w:rPr>
          <w:rFonts w:hint="eastAsia"/>
        </w:rPr>
        <w:t>银行业金融机构适老化服务示范网点标识牌</w:t>
      </w:r>
      <w:bookmarkEnd w:id="248"/>
    </w:p>
    <w:p>
      <w:pPr>
        <w:pStyle w:val="56"/>
        <w:ind w:firstLine="420"/>
      </w:pPr>
      <w:r>
        <w:rPr>
          <w:rFonts w:hint="eastAsia"/>
        </w:rPr>
        <w:t>银行金融机构适老化服务示范网点标识牌见图B.1所示。</w:t>
      </w:r>
    </w:p>
    <w:p>
      <w:pPr>
        <w:pStyle w:val="56"/>
        <w:ind w:firstLine="420"/>
      </w:pPr>
      <w:r>
        <w:drawing>
          <wp:inline distT="0" distB="0" distL="0" distR="0">
            <wp:extent cx="5801995" cy="3863975"/>
            <wp:effectExtent l="19050" t="19050" r="27305" b="2222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804936" cy="3866229"/>
                    </a:xfrm>
                    <a:prstGeom prst="rect">
                      <a:avLst/>
                    </a:prstGeom>
                    <a:noFill/>
                    <a:ln>
                      <a:solidFill>
                        <a:schemeClr val="tx1"/>
                      </a:solidFill>
                    </a:ln>
                  </pic:spPr>
                </pic:pic>
              </a:graphicData>
            </a:graphic>
          </wp:inline>
        </w:drawing>
      </w:r>
    </w:p>
    <w:p>
      <w:pPr>
        <w:pStyle w:val="179"/>
      </w:pPr>
      <w:r>
        <w:rPr>
          <w:rFonts w:hint="eastAsia"/>
        </w:rPr>
        <w:t>本附录给出南通市银行业金融机构适老化服务示范网点之一的标识牌样式。</w:t>
      </w:r>
    </w:p>
    <w:p>
      <w:pPr>
        <w:pStyle w:val="83"/>
        <w:spacing w:before="156" w:after="156"/>
        <w:rPr>
          <w:rFonts w:hint="eastAsia"/>
        </w:rPr>
      </w:pPr>
      <w:r>
        <w:rPr>
          <w:rFonts w:hint="eastAsia"/>
        </w:rPr>
        <w:t>银行业金融机构适老化服务示范网点标识牌</w:t>
      </w:r>
    </w:p>
    <w:p>
      <w:pPr>
        <w:pStyle w:val="56"/>
        <w:ind w:firstLine="420"/>
      </w:pPr>
    </w:p>
    <w:p>
      <w:pPr>
        <w:pStyle w:val="56"/>
        <w:ind w:firstLine="420"/>
      </w:pPr>
    </w:p>
    <w:bookmarkEnd w:id="246"/>
    <w:p>
      <w:pPr>
        <w:pStyle w:val="56"/>
        <w:ind w:firstLine="0" w:firstLineChars="0"/>
        <w:jc w:val="center"/>
      </w:pPr>
      <w:bookmarkStart w:id="249" w:name="BookMark8"/>
      <w:r>
        <w:drawing>
          <wp:inline distT="0" distB="0" distL="0" distR="0">
            <wp:extent cx="1485900" cy="317500"/>
            <wp:effectExtent l="1905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7"/>
                    <a:stretch>
                      <a:fillRect/>
                    </a:stretch>
                  </pic:blipFill>
                  <pic:spPr>
                    <a:xfrm>
                      <a:off x="0" y="0"/>
                      <a:ext cx="1485900" cy="317500"/>
                    </a:xfrm>
                    <a:prstGeom prst="rect">
                      <a:avLst/>
                    </a:prstGeom>
                  </pic:spPr>
                </pic:pic>
              </a:graphicData>
            </a:graphic>
          </wp:inline>
        </w:drawing>
      </w:r>
      <w:bookmarkEnd w:id="249"/>
      <w:bookmarkStart w:id="250" w:name="_GoBack"/>
      <w:bookmarkEnd w:id="250"/>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DB3206/TXXXX—2023</w:t>
    </w:r>
    <w:r>
      <w:fldChar w:fldCharType="end"/>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instrText xml:space="preserve"> STYLEREF  标准文件_文件编号  \* MERGEFORMAT </w:instrText>
    </w:r>
    <w:r>
      <w:fldChar w:fldCharType="separate"/>
    </w:r>
    <w:r>
      <w:t>DB3206/TXXXX—2023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zg0MzA4ZDY0NWQ1NjE4YTA0OWMwYzdjZDE1YzljMzMifQ=="/>
  </w:docVars>
  <w:rsids>
    <w:rsidRoot w:val="002B0536"/>
    <w:rsid w:val="0000040A"/>
    <w:rsid w:val="00000A94"/>
    <w:rsid w:val="00001972"/>
    <w:rsid w:val="00001D9A"/>
    <w:rsid w:val="00007B3A"/>
    <w:rsid w:val="000107E0"/>
    <w:rsid w:val="00011153"/>
    <w:rsid w:val="00011FDE"/>
    <w:rsid w:val="00012FFD"/>
    <w:rsid w:val="00014162"/>
    <w:rsid w:val="00014340"/>
    <w:rsid w:val="00016A9C"/>
    <w:rsid w:val="00022184"/>
    <w:rsid w:val="00022762"/>
    <w:rsid w:val="000238E0"/>
    <w:rsid w:val="000249DB"/>
    <w:rsid w:val="0002595E"/>
    <w:rsid w:val="00025A67"/>
    <w:rsid w:val="000303C3"/>
    <w:rsid w:val="000331D3"/>
    <w:rsid w:val="000346A5"/>
    <w:rsid w:val="000359C3"/>
    <w:rsid w:val="00035A7D"/>
    <w:rsid w:val="000365ED"/>
    <w:rsid w:val="0004249A"/>
    <w:rsid w:val="00043282"/>
    <w:rsid w:val="00044286"/>
    <w:rsid w:val="00044904"/>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57A"/>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446C"/>
    <w:rsid w:val="000B6A0B"/>
    <w:rsid w:val="000B6ECE"/>
    <w:rsid w:val="000C0F6C"/>
    <w:rsid w:val="000C11DB"/>
    <w:rsid w:val="000C1492"/>
    <w:rsid w:val="000C2FBD"/>
    <w:rsid w:val="000C4B41"/>
    <w:rsid w:val="000C57D6"/>
    <w:rsid w:val="000C6362"/>
    <w:rsid w:val="000C7666"/>
    <w:rsid w:val="000D0A9C"/>
    <w:rsid w:val="000D1795"/>
    <w:rsid w:val="000D329A"/>
    <w:rsid w:val="000D40B0"/>
    <w:rsid w:val="000D4B9C"/>
    <w:rsid w:val="000D4EB6"/>
    <w:rsid w:val="000D753B"/>
    <w:rsid w:val="000E4C9E"/>
    <w:rsid w:val="000E51C1"/>
    <w:rsid w:val="000E6FD7"/>
    <w:rsid w:val="000F06E1"/>
    <w:rsid w:val="000F0E3C"/>
    <w:rsid w:val="000F19D5"/>
    <w:rsid w:val="000F4AEA"/>
    <w:rsid w:val="000F633F"/>
    <w:rsid w:val="000F67E9"/>
    <w:rsid w:val="00104926"/>
    <w:rsid w:val="001138AC"/>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644"/>
    <w:rsid w:val="00156B25"/>
    <w:rsid w:val="00156E1A"/>
    <w:rsid w:val="00157894"/>
    <w:rsid w:val="00157B55"/>
    <w:rsid w:val="00163121"/>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17A"/>
    <w:rsid w:val="001852C9"/>
    <w:rsid w:val="00190087"/>
    <w:rsid w:val="001913C4"/>
    <w:rsid w:val="0019348F"/>
    <w:rsid w:val="00193A07"/>
    <w:rsid w:val="00194C95"/>
    <w:rsid w:val="00195C34"/>
    <w:rsid w:val="00196EF5"/>
    <w:rsid w:val="001A1A53"/>
    <w:rsid w:val="001A234A"/>
    <w:rsid w:val="001A4CF3"/>
    <w:rsid w:val="001A7A7A"/>
    <w:rsid w:val="001B06E8"/>
    <w:rsid w:val="001B71D0"/>
    <w:rsid w:val="001B71EE"/>
    <w:rsid w:val="001C04A8"/>
    <w:rsid w:val="001C2C03"/>
    <w:rsid w:val="001C3C34"/>
    <w:rsid w:val="001C42F7"/>
    <w:rsid w:val="001C49E5"/>
    <w:rsid w:val="001C680C"/>
    <w:rsid w:val="001C7FEA"/>
    <w:rsid w:val="001D0499"/>
    <w:rsid w:val="001D0BBE"/>
    <w:rsid w:val="001D0ED4"/>
    <w:rsid w:val="001D104C"/>
    <w:rsid w:val="001D212F"/>
    <w:rsid w:val="001D29D7"/>
    <w:rsid w:val="001D2DE7"/>
    <w:rsid w:val="001D411C"/>
    <w:rsid w:val="001D566E"/>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122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013B"/>
    <w:rsid w:val="0026148A"/>
    <w:rsid w:val="0026151D"/>
    <w:rsid w:val="00262696"/>
    <w:rsid w:val="00263D25"/>
    <w:rsid w:val="002643C3"/>
    <w:rsid w:val="00264A0C"/>
    <w:rsid w:val="00266062"/>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5C8E"/>
    <w:rsid w:val="002A757F"/>
    <w:rsid w:val="002A7F44"/>
    <w:rsid w:val="002B0536"/>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E6CE4"/>
    <w:rsid w:val="002E74B2"/>
    <w:rsid w:val="002F30E0"/>
    <w:rsid w:val="002F35E4"/>
    <w:rsid w:val="002F3730"/>
    <w:rsid w:val="002F38E1"/>
    <w:rsid w:val="002F4B1A"/>
    <w:rsid w:val="002F7AF6"/>
    <w:rsid w:val="00300E63"/>
    <w:rsid w:val="00302F5F"/>
    <w:rsid w:val="0030441D"/>
    <w:rsid w:val="00306063"/>
    <w:rsid w:val="00313B85"/>
    <w:rsid w:val="00314F85"/>
    <w:rsid w:val="00317988"/>
    <w:rsid w:val="003221B4"/>
    <w:rsid w:val="0032258D"/>
    <w:rsid w:val="00322E62"/>
    <w:rsid w:val="00324D13"/>
    <w:rsid w:val="00324D2A"/>
    <w:rsid w:val="00324EDD"/>
    <w:rsid w:val="003331E4"/>
    <w:rsid w:val="003354BE"/>
    <w:rsid w:val="00336C64"/>
    <w:rsid w:val="00337162"/>
    <w:rsid w:val="0034194F"/>
    <w:rsid w:val="00344605"/>
    <w:rsid w:val="003474AA"/>
    <w:rsid w:val="00350D1D"/>
    <w:rsid w:val="00352C83"/>
    <w:rsid w:val="00354FC5"/>
    <w:rsid w:val="00357835"/>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54D6"/>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6B4D"/>
    <w:rsid w:val="003B09AD"/>
    <w:rsid w:val="003B1F18"/>
    <w:rsid w:val="003B5BF0"/>
    <w:rsid w:val="003B60BF"/>
    <w:rsid w:val="003B6BE3"/>
    <w:rsid w:val="003C010C"/>
    <w:rsid w:val="003C0A6C"/>
    <w:rsid w:val="003C14F8"/>
    <w:rsid w:val="003C5A43"/>
    <w:rsid w:val="003D03A8"/>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3237"/>
    <w:rsid w:val="00404869"/>
    <w:rsid w:val="00405884"/>
    <w:rsid w:val="00407D39"/>
    <w:rsid w:val="0041477A"/>
    <w:rsid w:val="004167A3"/>
    <w:rsid w:val="004238E8"/>
    <w:rsid w:val="00424041"/>
    <w:rsid w:val="00432DAA"/>
    <w:rsid w:val="00434305"/>
    <w:rsid w:val="00435A0C"/>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86EFB"/>
    <w:rsid w:val="004905E4"/>
    <w:rsid w:val="00490A89"/>
    <w:rsid w:val="00490AB4"/>
    <w:rsid w:val="00492F02"/>
    <w:rsid w:val="004939AE"/>
    <w:rsid w:val="004A12DF"/>
    <w:rsid w:val="004A17E6"/>
    <w:rsid w:val="004A1BA8"/>
    <w:rsid w:val="004A4B57"/>
    <w:rsid w:val="004A63FA"/>
    <w:rsid w:val="004B0272"/>
    <w:rsid w:val="004B1D9B"/>
    <w:rsid w:val="004B2701"/>
    <w:rsid w:val="004B2E1B"/>
    <w:rsid w:val="004B3AA8"/>
    <w:rsid w:val="004B3E93"/>
    <w:rsid w:val="004B5F12"/>
    <w:rsid w:val="004C1FBC"/>
    <w:rsid w:val="004C3F1D"/>
    <w:rsid w:val="004C458D"/>
    <w:rsid w:val="004C7556"/>
    <w:rsid w:val="004C7E8B"/>
    <w:rsid w:val="004C7E9D"/>
    <w:rsid w:val="004C7F67"/>
    <w:rsid w:val="004D076D"/>
    <w:rsid w:val="004D0EF1"/>
    <w:rsid w:val="004D2253"/>
    <w:rsid w:val="004D345E"/>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4F7E08"/>
    <w:rsid w:val="00501139"/>
    <w:rsid w:val="0050363E"/>
    <w:rsid w:val="005039BC"/>
    <w:rsid w:val="005043BB"/>
    <w:rsid w:val="00504A3D"/>
    <w:rsid w:val="00505767"/>
    <w:rsid w:val="0050595E"/>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404"/>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5F52FA"/>
    <w:rsid w:val="006002E4"/>
    <w:rsid w:val="006015CE"/>
    <w:rsid w:val="00604784"/>
    <w:rsid w:val="00606419"/>
    <w:rsid w:val="00607D29"/>
    <w:rsid w:val="00612952"/>
    <w:rsid w:val="00614CC1"/>
    <w:rsid w:val="00615A9D"/>
    <w:rsid w:val="006169FA"/>
    <w:rsid w:val="00617387"/>
    <w:rsid w:val="006205D6"/>
    <w:rsid w:val="006252D8"/>
    <w:rsid w:val="006259BC"/>
    <w:rsid w:val="0062636B"/>
    <w:rsid w:val="006275BE"/>
    <w:rsid w:val="00632182"/>
    <w:rsid w:val="006326F2"/>
    <w:rsid w:val="00632AE0"/>
    <w:rsid w:val="00633C17"/>
    <w:rsid w:val="00634D9E"/>
    <w:rsid w:val="00636E3E"/>
    <w:rsid w:val="006379F7"/>
    <w:rsid w:val="00637E4D"/>
    <w:rsid w:val="00640620"/>
    <w:rsid w:val="00641A1F"/>
    <w:rsid w:val="00643A23"/>
    <w:rsid w:val="00645904"/>
    <w:rsid w:val="00651ACB"/>
    <w:rsid w:val="00651C47"/>
    <w:rsid w:val="00652156"/>
    <w:rsid w:val="00652AB2"/>
    <w:rsid w:val="00653FED"/>
    <w:rsid w:val="00654EC0"/>
    <w:rsid w:val="0065525B"/>
    <w:rsid w:val="00655D4F"/>
    <w:rsid w:val="00656D29"/>
    <w:rsid w:val="00661162"/>
    <w:rsid w:val="006640E5"/>
    <w:rsid w:val="006646F1"/>
    <w:rsid w:val="00664929"/>
    <w:rsid w:val="00664F62"/>
    <w:rsid w:val="006655E1"/>
    <w:rsid w:val="00665603"/>
    <w:rsid w:val="00667DAE"/>
    <w:rsid w:val="006709B8"/>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1842"/>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6D91"/>
    <w:rsid w:val="00707669"/>
    <w:rsid w:val="007102EE"/>
    <w:rsid w:val="00711CBA"/>
    <w:rsid w:val="00711FB5"/>
    <w:rsid w:val="00712A01"/>
    <w:rsid w:val="00713EAE"/>
    <w:rsid w:val="00714F58"/>
    <w:rsid w:val="00722FBF"/>
    <w:rsid w:val="00722FC2"/>
    <w:rsid w:val="00724879"/>
    <w:rsid w:val="00724E1B"/>
    <w:rsid w:val="00725949"/>
    <w:rsid w:val="00725998"/>
    <w:rsid w:val="00727FA2"/>
    <w:rsid w:val="007322D9"/>
    <w:rsid w:val="00732BC0"/>
    <w:rsid w:val="0073720F"/>
    <w:rsid w:val="00737796"/>
    <w:rsid w:val="0074165C"/>
    <w:rsid w:val="00742C35"/>
    <w:rsid w:val="007432CA"/>
    <w:rsid w:val="007439EB"/>
    <w:rsid w:val="00743CB4"/>
    <w:rsid w:val="00743F0A"/>
    <w:rsid w:val="007444E8"/>
    <w:rsid w:val="00744984"/>
    <w:rsid w:val="0074548E"/>
    <w:rsid w:val="00745773"/>
    <w:rsid w:val="00746800"/>
    <w:rsid w:val="007501A8"/>
    <w:rsid w:val="00750D61"/>
    <w:rsid w:val="00750EE1"/>
    <w:rsid w:val="00751B9E"/>
    <w:rsid w:val="00752B4D"/>
    <w:rsid w:val="00755402"/>
    <w:rsid w:val="00756B26"/>
    <w:rsid w:val="00756EDF"/>
    <w:rsid w:val="007600E3"/>
    <w:rsid w:val="007634D0"/>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434C"/>
    <w:rsid w:val="00844F6D"/>
    <w:rsid w:val="008454F8"/>
    <w:rsid w:val="0085173A"/>
    <w:rsid w:val="00856316"/>
    <w:rsid w:val="008603CE"/>
    <w:rsid w:val="008620FC"/>
    <w:rsid w:val="008627A5"/>
    <w:rsid w:val="00863E05"/>
    <w:rsid w:val="00865ACA"/>
    <w:rsid w:val="00865D28"/>
    <w:rsid w:val="00865F85"/>
    <w:rsid w:val="00867C10"/>
    <w:rsid w:val="00870439"/>
    <w:rsid w:val="00870DA1"/>
    <w:rsid w:val="0087352E"/>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41B2"/>
    <w:rsid w:val="008A57E6"/>
    <w:rsid w:val="008A6F81"/>
    <w:rsid w:val="008A769A"/>
    <w:rsid w:val="008B0C9C"/>
    <w:rsid w:val="008B11BA"/>
    <w:rsid w:val="008B166D"/>
    <w:rsid w:val="008B17F4"/>
    <w:rsid w:val="008B3615"/>
    <w:rsid w:val="008B4AC4"/>
    <w:rsid w:val="008B50C8"/>
    <w:rsid w:val="008B5281"/>
    <w:rsid w:val="008B7E05"/>
    <w:rsid w:val="008B7E8C"/>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6BAA"/>
    <w:rsid w:val="008F0CDC"/>
    <w:rsid w:val="008F17A3"/>
    <w:rsid w:val="008F1ED3"/>
    <w:rsid w:val="008F23A5"/>
    <w:rsid w:val="008F4C29"/>
    <w:rsid w:val="008F70BD"/>
    <w:rsid w:val="008F766E"/>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6213"/>
    <w:rsid w:val="009273B3"/>
    <w:rsid w:val="009305B5"/>
    <w:rsid w:val="00930990"/>
    <w:rsid w:val="009429D5"/>
    <w:rsid w:val="00942BF1"/>
    <w:rsid w:val="00944A85"/>
    <w:rsid w:val="00945180"/>
    <w:rsid w:val="00945428"/>
    <w:rsid w:val="0094607B"/>
    <w:rsid w:val="00953604"/>
    <w:rsid w:val="0095496B"/>
    <w:rsid w:val="009610DC"/>
    <w:rsid w:val="00961490"/>
    <w:rsid w:val="0096381A"/>
    <w:rsid w:val="00965E04"/>
    <w:rsid w:val="009674AD"/>
    <w:rsid w:val="00970CDC"/>
    <w:rsid w:val="0097645B"/>
    <w:rsid w:val="00977010"/>
    <w:rsid w:val="00977D02"/>
    <w:rsid w:val="009809BB"/>
    <w:rsid w:val="0098364B"/>
    <w:rsid w:val="0098555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3EBA"/>
    <w:rsid w:val="009B6029"/>
    <w:rsid w:val="009B6971"/>
    <w:rsid w:val="009C27F1"/>
    <w:rsid w:val="009C3152"/>
    <w:rsid w:val="009C4CFA"/>
    <w:rsid w:val="009C5070"/>
    <w:rsid w:val="009D112C"/>
    <w:rsid w:val="009D47FA"/>
    <w:rsid w:val="009D4C5B"/>
    <w:rsid w:val="009D50D2"/>
    <w:rsid w:val="009D6BCA"/>
    <w:rsid w:val="009E0F62"/>
    <w:rsid w:val="009E40E2"/>
    <w:rsid w:val="009E427E"/>
    <w:rsid w:val="009E4A58"/>
    <w:rsid w:val="009E5A2D"/>
    <w:rsid w:val="009E5AB2"/>
    <w:rsid w:val="009E6219"/>
    <w:rsid w:val="009F03B3"/>
    <w:rsid w:val="00A0096C"/>
    <w:rsid w:val="00A01757"/>
    <w:rsid w:val="00A02543"/>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4262"/>
    <w:rsid w:val="00A34660"/>
    <w:rsid w:val="00A3597D"/>
    <w:rsid w:val="00A36DD1"/>
    <w:rsid w:val="00A378AB"/>
    <w:rsid w:val="00A4006C"/>
    <w:rsid w:val="00A40091"/>
    <w:rsid w:val="00A4030F"/>
    <w:rsid w:val="00A41C79"/>
    <w:rsid w:val="00A41CB5"/>
    <w:rsid w:val="00A42CDF"/>
    <w:rsid w:val="00A4452E"/>
    <w:rsid w:val="00A4472C"/>
    <w:rsid w:val="00A44E69"/>
    <w:rsid w:val="00A4661E"/>
    <w:rsid w:val="00A55BD6"/>
    <w:rsid w:val="00A55D50"/>
    <w:rsid w:val="00A56644"/>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3C3"/>
    <w:rsid w:val="00AA052C"/>
    <w:rsid w:val="00AA1E45"/>
    <w:rsid w:val="00AA4286"/>
    <w:rsid w:val="00AA456B"/>
    <w:rsid w:val="00AA561F"/>
    <w:rsid w:val="00AA57F5"/>
    <w:rsid w:val="00AA672E"/>
    <w:rsid w:val="00AA6EC9"/>
    <w:rsid w:val="00AB41D5"/>
    <w:rsid w:val="00AB6309"/>
    <w:rsid w:val="00AB6C5F"/>
    <w:rsid w:val="00AB7129"/>
    <w:rsid w:val="00AC0A77"/>
    <w:rsid w:val="00AC0C6B"/>
    <w:rsid w:val="00AC27A6"/>
    <w:rsid w:val="00AC30F7"/>
    <w:rsid w:val="00AC3A5A"/>
    <w:rsid w:val="00AC4D95"/>
    <w:rsid w:val="00AC5DF4"/>
    <w:rsid w:val="00AD0AEF"/>
    <w:rsid w:val="00AD11B7"/>
    <w:rsid w:val="00AD1A94"/>
    <w:rsid w:val="00AD1C05"/>
    <w:rsid w:val="00AD4126"/>
    <w:rsid w:val="00AD421C"/>
    <w:rsid w:val="00AD44FA"/>
    <w:rsid w:val="00AD63FC"/>
    <w:rsid w:val="00AE070A"/>
    <w:rsid w:val="00AE101C"/>
    <w:rsid w:val="00AE37E5"/>
    <w:rsid w:val="00AE5EB4"/>
    <w:rsid w:val="00AF0C18"/>
    <w:rsid w:val="00AF47C5"/>
    <w:rsid w:val="00AF5398"/>
    <w:rsid w:val="00B049AF"/>
    <w:rsid w:val="00B06E54"/>
    <w:rsid w:val="00B07242"/>
    <w:rsid w:val="00B10534"/>
    <w:rsid w:val="00B113DB"/>
    <w:rsid w:val="00B11D8A"/>
    <w:rsid w:val="00B12981"/>
    <w:rsid w:val="00B147DD"/>
    <w:rsid w:val="00B156FD"/>
    <w:rsid w:val="00B21C6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16FF"/>
    <w:rsid w:val="00B62B58"/>
    <w:rsid w:val="00B65149"/>
    <w:rsid w:val="00B66567"/>
    <w:rsid w:val="00B66F52"/>
    <w:rsid w:val="00B66FE5"/>
    <w:rsid w:val="00B72880"/>
    <w:rsid w:val="00B73D1E"/>
    <w:rsid w:val="00B758BF"/>
    <w:rsid w:val="00B773B6"/>
    <w:rsid w:val="00B77EC8"/>
    <w:rsid w:val="00B827A6"/>
    <w:rsid w:val="00B831CE"/>
    <w:rsid w:val="00B86677"/>
    <w:rsid w:val="00B86E84"/>
    <w:rsid w:val="00B87131"/>
    <w:rsid w:val="00B939B1"/>
    <w:rsid w:val="00B96D40"/>
    <w:rsid w:val="00B97386"/>
    <w:rsid w:val="00BA0C14"/>
    <w:rsid w:val="00BA263B"/>
    <w:rsid w:val="00BA42B2"/>
    <w:rsid w:val="00BA58D4"/>
    <w:rsid w:val="00BA5B9E"/>
    <w:rsid w:val="00BA7C9A"/>
    <w:rsid w:val="00BB5F8F"/>
    <w:rsid w:val="00BB657A"/>
    <w:rsid w:val="00BC1A4E"/>
    <w:rsid w:val="00BC5DC7"/>
    <w:rsid w:val="00BC6B8B"/>
    <w:rsid w:val="00BC73D8"/>
    <w:rsid w:val="00BD3992"/>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752"/>
    <w:rsid w:val="00C15F73"/>
    <w:rsid w:val="00C21540"/>
    <w:rsid w:val="00C21906"/>
    <w:rsid w:val="00C21BFA"/>
    <w:rsid w:val="00C22148"/>
    <w:rsid w:val="00C24C8D"/>
    <w:rsid w:val="00C25FE2"/>
    <w:rsid w:val="00C26B53"/>
    <w:rsid w:val="00C279B2"/>
    <w:rsid w:val="00C31463"/>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3F50"/>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42D8"/>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28C5"/>
    <w:rsid w:val="00D0321C"/>
    <w:rsid w:val="00D035EC"/>
    <w:rsid w:val="00D06AB1"/>
    <w:rsid w:val="00D072ED"/>
    <w:rsid w:val="00D07A16"/>
    <w:rsid w:val="00D1067E"/>
    <w:rsid w:val="00D10F50"/>
    <w:rsid w:val="00D11099"/>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773A"/>
    <w:rsid w:val="00D4162B"/>
    <w:rsid w:val="00D4514F"/>
    <w:rsid w:val="00D451E2"/>
    <w:rsid w:val="00D45E89"/>
    <w:rsid w:val="00D45E8D"/>
    <w:rsid w:val="00D466AE"/>
    <w:rsid w:val="00D46732"/>
    <w:rsid w:val="00D4734F"/>
    <w:rsid w:val="00D47BAE"/>
    <w:rsid w:val="00D51BF3"/>
    <w:rsid w:val="00D66846"/>
    <w:rsid w:val="00D675FB"/>
    <w:rsid w:val="00D71F25"/>
    <w:rsid w:val="00D72A9C"/>
    <w:rsid w:val="00D77031"/>
    <w:rsid w:val="00D84941"/>
    <w:rsid w:val="00D84FA1"/>
    <w:rsid w:val="00D851F0"/>
    <w:rsid w:val="00D86DB7"/>
    <w:rsid w:val="00D87792"/>
    <w:rsid w:val="00D87C92"/>
    <w:rsid w:val="00D911D8"/>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B7E9E"/>
    <w:rsid w:val="00DC0321"/>
    <w:rsid w:val="00DC1B3C"/>
    <w:rsid w:val="00DC3067"/>
    <w:rsid w:val="00DC370B"/>
    <w:rsid w:val="00DC5B90"/>
    <w:rsid w:val="00DD00FF"/>
    <w:rsid w:val="00DD0619"/>
    <w:rsid w:val="00DD07FB"/>
    <w:rsid w:val="00DD25C6"/>
    <w:rsid w:val="00DD4FE5"/>
    <w:rsid w:val="00DD54B0"/>
    <w:rsid w:val="00DD57EE"/>
    <w:rsid w:val="00DD6BCC"/>
    <w:rsid w:val="00DE0A4B"/>
    <w:rsid w:val="00DE2410"/>
    <w:rsid w:val="00DE25FD"/>
    <w:rsid w:val="00DE2939"/>
    <w:rsid w:val="00DE6E81"/>
    <w:rsid w:val="00DE703F"/>
    <w:rsid w:val="00DE7595"/>
    <w:rsid w:val="00DF00F1"/>
    <w:rsid w:val="00DF1961"/>
    <w:rsid w:val="00DF44DE"/>
    <w:rsid w:val="00DF5F11"/>
    <w:rsid w:val="00E00AEF"/>
    <w:rsid w:val="00E01138"/>
    <w:rsid w:val="00E02DFB"/>
    <w:rsid w:val="00E030F9"/>
    <w:rsid w:val="00E0311A"/>
    <w:rsid w:val="00E03138"/>
    <w:rsid w:val="00E06404"/>
    <w:rsid w:val="00E11A85"/>
    <w:rsid w:val="00E12495"/>
    <w:rsid w:val="00E15CCD"/>
    <w:rsid w:val="00E167DA"/>
    <w:rsid w:val="00E202EF"/>
    <w:rsid w:val="00E210B5"/>
    <w:rsid w:val="00E23D99"/>
    <w:rsid w:val="00E2552F"/>
    <w:rsid w:val="00E3137A"/>
    <w:rsid w:val="00E32CCF"/>
    <w:rsid w:val="00E34A98"/>
    <w:rsid w:val="00E35D1E"/>
    <w:rsid w:val="00E364F9"/>
    <w:rsid w:val="00E365FA"/>
    <w:rsid w:val="00E36789"/>
    <w:rsid w:val="00E42EEE"/>
    <w:rsid w:val="00E44A83"/>
    <w:rsid w:val="00E502C1"/>
    <w:rsid w:val="00E502DD"/>
    <w:rsid w:val="00E50D3A"/>
    <w:rsid w:val="00E51387"/>
    <w:rsid w:val="00E51C35"/>
    <w:rsid w:val="00E51E68"/>
    <w:rsid w:val="00E52EFD"/>
    <w:rsid w:val="00E5408A"/>
    <w:rsid w:val="00E56800"/>
    <w:rsid w:val="00E60C63"/>
    <w:rsid w:val="00E615E0"/>
    <w:rsid w:val="00E62D6E"/>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41C"/>
    <w:rsid w:val="00E906C2"/>
    <w:rsid w:val="00E9311F"/>
    <w:rsid w:val="00E934D1"/>
    <w:rsid w:val="00E93C1B"/>
    <w:rsid w:val="00E94AF0"/>
    <w:rsid w:val="00E95D13"/>
    <w:rsid w:val="00E95DD3"/>
    <w:rsid w:val="00E966D9"/>
    <w:rsid w:val="00E969D5"/>
    <w:rsid w:val="00EA35E1"/>
    <w:rsid w:val="00EA3A8B"/>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6286"/>
    <w:rsid w:val="00EE7295"/>
    <w:rsid w:val="00EE7869"/>
    <w:rsid w:val="00EF054A"/>
    <w:rsid w:val="00EF3235"/>
    <w:rsid w:val="00EF7E72"/>
    <w:rsid w:val="00F06D37"/>
    <w:rsid w:val="00F07B9D"/>
    <w:rsid w:val="00F11586"/>
    <w:rsid w:val="00F1183B"/>
    <w:rsid w:val="00F11C9F"/>
    <w:rsid w:val="00F12263"/>
    <w:rsid w:val="00F131B4"/>
    <w:rsid w:val="00F1374D"/>
    <w:rsid w:val="00F1409D"/>
    <w:rsid w:val="00F14214"/>
    <w:rsid w:val="00F157A9"/>
    <w:rsid w:val="00F15C5B"/>
    <w:rsid w:val="00F16C43"/>
    <w:rsid w:val="00F25BB6"/>
    <w:rsid w:val="00F26B7E"/>
    <w:rsid w:val="00F27A3B"/>
    <w:rsid w:val="00F33817"/>
    <w:rsid w:val="00F40FC7"/>
    <w:rsid w:val="00F420D5"/>
    <w:rsid w:val="00F451EA"/>
    <w:rsid w:val="00F45447"/>
    <w:rsid w:val="00F456C6"/>
    <w:rsid w:val="00F4577B"/>
    <w:rsid w:val="00F46496"/>
    <w:rsid w:val="00F474D0"/>
    <w:rsid w:val="00F50179"/>
    <w:rsid w:val="00F515EE"/>
    <w:rsid w:val="00F56511"/>
    <w:rsid w:val="00F57318"/>
    <w:rsid w:val="00F6194E"/>
    <w:rsid w:val="00F623AC"/>
    <w:rsid w:val="00F6412A"/>
    <w:rsid w:val="00F65893"/>
    <w:rsid w:val="00F66A4A"/>
    <w:rsid w:val="00F67AF7"/>
    <w:rsid w:val="00F71E22"/>
    <w:rsid w:val="00F72142"/>
    <w:rsid w:val="00F72AE7"/>
    <w:rsid w:val="00F81141"/>
    <w:rsid w:val="00F833BA"/>
    <w:rsid w:val="00F84FD0"/>
    <w:rsid w:val="00F859A8"/>
    <w:rsid w:val="00F86990"/>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4E26"/>
    <w:rsid w:val="00FC55B4"/>
    <w:rsid w:val="00FD00E6"/>
    <w:rsid w:val="00FD09A1"/>
    <w:rsid w:val="00FD2A7C"/>
    <w:rsid w:val="00FD59EB"/>
    <w:rsid w:val="00FD61D3"/>
    <w:rsid w:val="00FD7299"/>
    <w:rsid w:val="00FE1FBE"/>
    <w:rsid w:val="00FE2BE4"/>
    <w:rsid w:val="00FE3901"/>
    <w:rsid w:val="00FE39D3"/>
    <w:rsid w:val="00FE4BCE"/>
    <w:rsid w:val="00FE54AE"/>
    <w:rsid w:val="00FE576A"/>
    <w:rsid w:val="00FE7E79"/>
    <w:rsid w:val="00FF3E7D"/>
    <w:rsid w:val="00FF5B99"/>
    <w:rsid w:val="00FF730C"/>
    <w:rsid w:val="00FF73F4"/>
    <w:rsid w:val="00FF7CE4"/>
    <w:rsid w:val="00FF7E39"/>
    <w:rsid w:val="08357D9C"/>
    <w:rsid w:val="14184CAE"/>
    <w:rsid w:val="142D5694"/>
    <w:rsid w:val="16BB3D2D"/>
    <w:rsid w:val="1C35528E"/>
    <w:rsid w:val="1F743777"/>
    <w:rsid w:val="2ECB0D48"/>
    <w:rsid w:val="2F371186"/>
    <w:rsid w:val="36E76F3D"/>
    <w:rsid w:val="3AB71A73"/>
    <w:rsid w:val="408E2B77"/>
    <w:rsid w:val="43803FD0"/>
    <w:rsid w:val="49B923DE"/>
    <w:rsid w:val="60D64FA8"/>
    <w:rsid w:val="6C2F40C5"/>
    <w:rsid w:val="6CD94A99"/>
    <w:rsid w:val="7C5645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qFormat/>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next w:val="56"/>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font41"/>
    <w:basedOn w:val="28"/>
    <w:qFormat/>
    <w:uiPriority w:val="0"/>
    <w:rPr>
      <w:rFonts w:hint="eastAsia" w:ascii="仿宋_GB2312" w:eastAsia="仿宋_GB2312" w:cs="仿宋_GB2312"/>
      <w:color w:val="000000"/>
      <w:sz w:val="22"/>
      <w:szCs w:val="22"/>
      <w:u w:val="none"/>
    </w:rPr>
  </w:style>
  <w:style w:type="character" w:customStyle="1" w:styleId="231">
    <w:name w:val="font11"/>
    <w:basedOn w:val="28"/>
    <w:qFormat/>
    <w:uiPriority w:val="0"/>
    <w:rPr>
      <w:rFonts w:hint="eastAsia" w:ascii="仿宋_GB2312" w:eastAsia="仿宋_GB2312" w:cs="仿宋_GB2312"/>
      <w:color w:val="000000"/>
      <w:sz w:val="24"/>
      <w:szCs w:val="24"/>
      <w:u w:val="none"/>
    </w:rPr>
  </w:style>
  <w:style w:type="character" w:customStyle="1" w:styleId="232">
    <w:name w:val="font21"/>
    <w:basedOn w:val="28"/>
    <w:qFormat/>
    <w:uiPriority w:val="0"/>
    <w:rPr>
      <w:rFonts w:hint="eastAsia" w:ascii="仿宋_GB2312" w:eastAsia="仿宋_GB2312"/>
      <w:b/>
      <w:bCs/>
      <w:color w:val="000000"/>
      <w:sz w:val="24"/>
      <w:szCs w:val="24"/>
      <w:u w:val="none"/>
    </w:rPr>
  </w:style>
  <w:style w:type="character" w:customStyle="1" w:styleId="233">
    <w:name w:val="font31"/>
    <w:basedOn w:val="28"/>
    <w:uiPriority w:val="0"/>
    <w:rPr>
      <w:rFonts w:hint="eastAsia" w:ascii="仿宋_GB2312" w:eastAsia="仿宋_GB2312"/>
      <w:color w:val="000000"/>
      <w:sz w:val="22"/>
      <w:szCs w:val="22"/>
      <w:u w:val="none"/>
    </w:rPr>
  </w:style>
  <w:style w:type="character" w:customStyle="1" w:styleId="234">
    <w:name w:val="font61"/>
    <w:basedOn w:val="28"/>
    <w:qFormat/>
    <w:uiPriority w:val="0"/>
    <w:rPr>
      <w:rFonts w:hint="eastAsia" w:ascii="仿宋_GB2312" w:eastAsia="仿宋_GB2312"/>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GIF"/><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930ED1E4B844E2395B53DC5BC1602EC"/>
        <w:style w:val=""/>
        <w:category>
          <w:name w:val="常规"/>
          <w:gallery w:val="placeholder"/>
        </w:category>
        <w:types>
          <w:type w:val="bbPlcHdr"/>
        </w:types>
        <w:behaviors>
          <w:behavior w:val="content"/>
        </w:behaviors>
        <w:description w:val=""/>
        <w:guid w:val="{AA149A33-E157-463D-A972-35C950C766A9}"/>
      </w:docPartPr>
      <w:docPartBody>
        <w:p>
          <w:pPr>
            <w:pStyle w:val="5"/>
          </w:pPr>
          <w:r>
            <w:rPr>
              <w:rStyle w:val="4"/>
              <w:rFonts w:hint="eastAsia"/>
            </w:rPr>
            <w:t>单击或点击此处输入文字。</w:t>
          </w:r>
        </w:p>
      </w:docPartBody>
    </w:docPart>
    <w:docPart>
      <w:docPartPr>
        <w:name w:val="56CCC8DB6CB746638FEE3EAF3B755BEB"/>
        <w:style w:val=""/>
        <w:category>
          <w:name w:val="常规"/>
          <w:gallery w:val="placeholder"/>
        </w:category>
        <w:types>
          <w:type w:val="bbPlcHdr"/>
        </w:types>
        <w:behaviors>
          <w:behavior w:val="content"/>
        </w:behaviors>
        <w:description w:val=""/>
        <w:guid w:val="{0235195C-9CCA-42D7-8831-F9B16EE05CE1}"/>
      </w:docPartPr>
      <w:docPartBody>
        <w:p>
          <w:pPr>
            <w:pStyle w:val="6"/>
          </w:pPr>
          <w:r>
            <w:rPr>
              <w:rStyle w:val="4"/>
              <w:rFonts w:hint="eastAsia"/>
            </w:rPr>
            <w:t>选择一项。</w:t>
          </w:r>
        </w:p>
      </w:docPartBody>
    </w:docPart>
    <w:docPart>
      <w:docPartPr>
        <w:name w:val="4BFE5470F95F489FB16C8F2DCC836710"/>
        <w:style w:val=""/>
        <w:category>
          <w:name w:val="常规"/>
          <w:gallery w:val="placeholder"/>
        </w:category>
        <w:types>
          <w:type w:val="bbPlcHdr"/>
        </w:types>
        <w:behaviors>
          <w:behavior w:val="content"/>
        </w:behaviors>
        <w:description w:val=""/>
        <w:guid w:val="{303E8476-C328-4CC8-8422-8445D4DB6A69}"/>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46FF9"/>
    <w:rsid w:val="00084598"/>
    <w:rsid w:val="000C3F5E"/>
    <w:rsid w:val="0024617A"/>
    <w:rsid w:val="00264136"/>
    <w:rsid w:val="0026455F"/>
    <w:rsid w:val="002D6079"/>
    <w:rsid w:val="002F1E89"/>
    <w:rsid w:val="00304C1B"/>
    <w:rsid w:val="003320AA"/>
    <w:rsid w:val="003722CE"/>
    <w:rsid w:val="00387DDB"/>
    <w:rsid w:val="003E6E51"/>
    <w:rsid w:val="00404647"/>
    <w:rsid w:val="00406ADC"/>
    <w:rsid w:val="00437D4B"/>
    <w:rsid w:val="00446FF9"/>
    <w:rsid w:val="00486DAF"/>
    <w:rsid w:val="005B2B9B"/>
    <w:rsid w:val="00763690"/>
    <w:rsid w:val="007759F9"/>
    <w:rsid w:val="007C3BB1"/>
    <w:rsid w:val="008C08A5"/>
    <w:rsid w:val="008D0DEE"/>
    <w:rsid w:val="009B2B29"/>
    <w:rsid w:val="00A97EA0"/>
    <w:rsid w:val="00AD6FA7"/>
    <w:rsid w:val="00AF2BE4"/>
    <w:rsid w:val="00BC5314"/>
    <w:rsid w:val="00CB7702"/>
    <w:rsid w:val="00CE1495"/>
    <w:rsid w:val="00D32E79"/>
    <w:rsid w:val="00E57CF9"/>
    <w:rsid w:val="00E841A5"/>
    <w:rsid w:val="00F4411F"/>
    <w:rsid w:val="00F643F5"/>
    <w:rsid w:val="00F85E75"/>
    <w:rsid w:val="00FE11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930ED1E4B844E2395B53DC5BC1602E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6CCC8DB6CB746638FEE3EAF3B755B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BFE5470F95F489FB16C8F2DCC83671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1EF73D-4A18-4DC4-92AD-9A8E6783CED4}">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14</Pages>
  <Words>1654</Words>
  <Characters>9430</Characters>
  <Lines>78</Lines>
  <Paragraphs>22</Paragraphs>
  <TotalTime>3</TotalTime>
  <ScaleCrop>false</ScaleCrop>
  <LinksUpToDate>false</LinksUpToDate>
  <CharactersWithSpaces>11062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2023-10-25T09:04:00Z</dcterms:created>
  <dc:creator>Administrator</dc:creator>
  <cp:lastModifiedBy>朱智荣</cp:lastModifiedBy>
  <cp:lastPrinted>2023-11-17T08:24:00Z</cp:lastPrinted>
  <dcterms:modified xsi:type="dcterms:W3CDTF">2023-11-24T06:25:27Z</dcterms:modified>
  <dc:title>地方标准</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5DF1379C3ABD4EEEA4352093E21FA1A4_13</vt:lpwstr>
  </property>
</Properties>
</file>