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南通市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地方标准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《重大活动食品安全保障工作规范》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编制说明</w:t>
      </w:r>
    </w:p>
    <w:p>
      <w:pPr>
        <w:adjustRightInd w:val="0"/>
        <w:snapToGrid w:val="0"/>
        <w:spacing w:line="560" w:lineRule="exact"/>
        <w:ind w:firstLine="636" w:firstLineChars="199"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一、目的和意义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 w:firstLineChars="199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随着经济社会的快速发展，南通市承接的具有国际、国家或区域性重大影响的重大活动日益增多。重大活动参与组织多、社会影响大，其食品安全保障尤为重要。从2018年开始，南通市市场监督管理局先后承担了新中国成立70周年大庆、建党100周年大庆、全运会、省运会、中高考和研究生考试、公务员和事业单位等招录考试、一建二建等资格考试、国际高端纺织产业博览会、全国首席质量官大会、国家环保大会、长三角市场监管交流会、中国森林旅游节、江海国际博览会、江海国际文化旅游节、南通啤酒嘉年华等重大活动。通过近几年的实践探索，结合《重大活动食品安全监督管理指导手册》，南通市重大活动食品安全保障工作模式日益完善，应对其进行完善和规范。南通市市场监督管理局拟出台重大活动食品安全保障工作规范标准，建立重大活动食品安全保障工作流程，推动南通市重大活动食品安全保障工作规范化、标准化建设，进一步明确重大活动主办方、食品安全监管部门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餐饮服务提供者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，提供操作依据和规范指导，为南通市承接更多重大活动提供食品安全保障。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二、任务来源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项目由南通市崇川区市场监督管理局提出，由南通市市场监督管理局归口，由江苏安心食品安全科技有限公司、江苏广海检验检测有限公司、南通市食品安全协会、南通市饭店与餐饮业商会、南通文景国际大酒店有限公司、广东省食品工业研究所有限公司等合作起草，起草单位包含了监管部门、餐饮服务提供者、第三方检测和评估服务机构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为了进一步规范南通市重大活动食品安全保障工作，提升南通市重大活动食品安全保障工作效能，南通市崇川区市场监督管理局提出制定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《重大活动食品安全保障工作规范》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地方标准，起草单位根据《关于组织申报2023年度南通市地方标准项目的通知》（通标联办发[2023]1号）、《南通市市场监督管理局关于下达2023年度南通市地方标准项目计划的通知》等文件精神进行立项、编制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起止时间为202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三、编制过程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kern w:val="44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kern w:val="44"/>
          <w:sz w:val="32"/>
          <w:szCs w:val="32"/>
          <w:lang w:val="en-US" w:eastAsia="zh-CN" w:bidi="ar"/>
        </w:rPr>
        <w:t>起草单位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标准的主要起草单位为江苏安心食品安全科技有限公司、江苏广海检验检测有限公司、南通市食品安全协会、南通市饭店与餐饮业商会、南通文景国际大酒店有限公司、广东省食品工业研究所有限公司等合作起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default" w:ascii="楷体" w:hAnsi="楷体" w:eastAsia="楷体" w:cs="楷体"/>
          <w:b w:val="0"/>
          <w:bCs w:val="0"/>
          <w:kern w:val="44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kern w:val="44"/>
          <w:sz w:val="32"/>
          <w:szCs w:val="32"/>
          <w:lang w:val="en-US" w:eastAsia="zh-CN" w:bidi="ar"/>
        </w:rPr>
        <w:t>标准制定过程及工作安排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1、成立工作组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南通市市场监督管理局组织和领导下，召开重大活动食品安全保障工作规范标准工作启动会，成立了标准编制领导小组和工作小组，以南通市市场监督管理局食品协调处为领导小组，以江苏安心食品安全科技有限公司、江苏广海检验检测有限公司、南通市食品安全协会、南通市饭店与餐饮业商会、南通文景国际大酒店有限公司、广东省食品工业研究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等单位的业务骨干为工作小组，并初步拟定了工作进度计划和工作分工。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2、前期预研情况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4-7月，工作小组查阅、收集了重大活动食品安全保障工作相关的法律法规、规范性文件、国家标准、行业标准、地方标准、团体标准以及相关的科研成果、文献等资料，工作小组认真分析、比对研究相关资料，在《重大活动餐饮服务食品安全监督管理规范》(国食药监食[2011]67号 )、《关于印发江苏省重大活动食品安全监督管理指导手册的通知》、《重大活动餐饮服务食品安全监督规范实施细则》的基础上，结合南通市重大活动食品安全保障工作多年的实践经验，经多次召开标准内部研讨会议，初步确定了重大活动食品安全保障工作规范标准框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3、标准草案形成情况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2023年8-10月，在确定的重大活动食品安全保障工作规范标准框架基础上，工作小组对调研意见进行认真分析、研究，经过多次召开内部研讨会议，形成标准草案。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4、征求意见稿形成情况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11月，在标准草案的基础上，工作小组组织监管部门、科研院校、行业协会、技术机构、标准化机构、餐饮服务单位等单位的专家对标准草案进行评审。专家组共提出15条修改意见，主要集中在标准文本格式、结构，以及文字表述的规范性、严谨性等方面提出了修改意见。工作小组采纳了专家组提出的修改意见，形成了标准征求意见稿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送审稿形成情况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12-2024年1月，分别在南通市市场监督管理局门户网站向社会公开征求意见，对内充分征求市场监管部门、科研院校、标准化机构、技术机构、行业协会、食品市场主体等单位的意见，共向52个单位发出征求意见，回函单位有30个（详见附件1），提出意见的单位有5个，共提出了16条意见，工作小组对各单位反馈的意见进行研讨，其中采纳了11条意见，1条意见部分采纳，4条意见不采纳，形成标准送审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四、标准编制原则和地方标准主要内容的确定依据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default" w:ascii="楷体" w:hAnsi="楷体" w:eastAsia="楷体" w:cs="楷体"/>
          <w:b w:val="0"/>
          <w:bCs w:val="0"/>
          <w:kern w:val="44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kern w:val="44"/>
          <w:sz w:val="32"/>
          <w:szCs w:val="32"/>
          <w:lang w:val="en-US" w:eastAsia="zh-CN" w:bidi="ar"/>
        </w:rPr>
        <w:t>编制原则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本标准依据GB/T 1.1-2020《标准化工作导则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 1 部分：标准化文件的结构和起草规则》的相关要求确定了标准制定适用性、科学性、合法性和前瞻性原则。标准充分考虑了南通市重大活动食品安全保障工作的特点和现状，结合工作实践和相关管理要求加以规范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kern w:val="44"/>
          <w:sz w:val="32"/>
          <w:szCs w:val="32"/>
          <w:lang w:val="en-US" w:eastAsia="zh-CN" w:bidi="ar"/>
        </w:rPr>
        <w:t>标准主要内容及确定依据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准根据GB/T 1.1—2020《标准化工作导则  第1部分：标准化文件的结构和起草规则》的规定起草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标准文本内容经过了验证，具有较强的可操作性和科学性。对标准调研情况、征求意见情况进行汇总、分析，确定了标准的主要技术内容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1.标准主要内容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本标准的主要内容为：规定了重大活动食品安全保障工作规范，包括术语和定义、基本原则、工作职责及要求。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2.术语和定义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主要规定了重大活动、主承单位、餐饮服务提供者的定义，主要参考了《重大活动餐饮服务食品安全监督规范实施细则》。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3.基本原则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部分内容确定了南通市重大活动食品安全保障工作原则，明确了预防为主、科学管理、属地负责、分级监督、厉行节约、反对浪费和保密原则，主要参考了《重大活动餐饮服务食品安全监督管理规范》(国食药监食[2011]67号)以及《中华人民共和国反食品浪费法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jc w:val="left"/>
        <w:textAlignment w:val="auto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4.重大活动主承单位职责及要求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部分内容规定了重大活动主承单位组建食品安全管理机构、确认餐饮服务提供者、信息通报、食品安全监管协助、人员培训、反食品浪费、食品安全突发事件处置要求，主要参考了《重大活动餐饮服务食品安全监督管理规范》(国食药监食[2011]67号)以及《中华人民共和国反食品浪费法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jc w:val="left"/>
        <w:textAlignment w:val="auto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5.餐饮服务提供者职责及要求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本部分内容规定了餐饮服务提供者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建立食品安全管理机构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配合食品安全监管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人员培训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食谱制定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卫生规范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反食品浪费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食品安全突发事件处置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的要求，主要参考了《重大活动餐饮服务食品安全监督管理规范》(国食药监食[2011]67号)以及《中华人民共和国反食品浪费法》。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6.食品安全监管部门职责及要求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部分内容规定了食品安全监管部门开展食品安全预评估、食品安全监督、食品安全突发事件处置工作要求，主要参考了《重大活动餐饮服务食品安全监督管理规范》(国食药监食[2011]67号)和《关于印发江苏省重大活动食品安全监督管理指导手册的通知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五、重大意见分歧的处理依据和结果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本标准在制定过程中未出现重大分歧意见。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六、与相关法律法规和标准的关系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（一）与现行有关法律法规的关系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本标准贯彻落实《中华人民共和国食品安全法》、《重大活动餐饮服务食品安全监督管理规范》(国食药监食[2011]67号 )、《中华人民共和国反食品浪费法》等法律法规，本标准的制定符合现行法律法规的规定，无强制性标准对重大活动食品安全保障的标准化做出规定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（二）与现行有关标准的关系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重大活动食品安全保障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标准方面，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目前尚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无相关国内、行业、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江苏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省、南通市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本标准参考以下法律法规、标准、规范性文件：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1、《重大活动餐饮服务食品安全监督管理规范》(国食药监食[2011]67号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2、《中华人民共和国反食品浪费法》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3、《关于印发江苏省重大活动食品安全监督管理指导手册的通知》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七、实施推广建议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《标准》颁布后，建议从以下几个方面组织贯彻执行：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（一）宣传贯彻。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组织协调在全区、全市范围内积极开展多种形式的宣传工作，宣传执行《标准》的重要性和必要性；二是按照标准要求，对重大活动食品安全承办单位、监管单位、技术服务机构等定期举办专业培训；三是建立健全监督检查制度，督促各有关主体严格执行《标准》各项规定，对照《标准》调整、完善监督和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（二）平稳衔接。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做好《标准》颁布前后的衔接工作，《标准》颁布前，各有关单位按照现行有关政策的要求执行；《标准》颁布后，我局将部署各有关单位执行。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（三）后续跟踪。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定期收集《标准》执行情况和效果；二是长期密切关注《标准》的实施效果，注重实施信息的有效收集，畅通信息收集渠道，将收集的反馈意见汇总、梳理、研究，及时提出修正意见，统一操作，并不定期进行监督检查，确保《标准》有效实施；三是及时组织对《标准》进行论证，并根据实际情况向南通市市场监督管理局提出对《标准》进行修订、废止或继续使用的建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6" w:firstLineChars="199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、其他应予说明的事项。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无其他应予说明的事项。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标准编制工作组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2024年1月18日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pStyle w:val="10"/>
        <w:spacing w:line="560" w:lineRule="exact"/>
        <w:ind w:firstLine="0" w:firstLineChars="0"/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南通市地方标准征求意见汇总表</w:t>
      </w:r>
    </w:p>
    <w:p>
      <w:pPr>
        <w:pStyle w:val="19"/>
        <w:spacing w:line="400" w:lineRule="exact"/>
        <w:jc w:val="both"/>
        <w:rPr>
          <w:rFonts w:ascii="宋体" w:hAnsi="宋体" w:eastAsia="宋体"/>
          <w:kern w:val="2"/>
          <w:sz w:val="21"/>
          <w:szCs w:val="21"/>
        </w:rPr>
      </w:pPr>
      <w:r>
        <w:rPr>
          <w:rFonts w:hint="eastAsia" w:ascii="宋体" w:hAnsi="宋体" w:eastAsia="宋体"/>
          <w:kern w:val="2"/>
          <w:sz w:val="21"/>
          <w:szCs w:val="21"/>
        </w:rPr>
        <w:t xml:space="preserve"> </w:t>
      </w:r>
    </w:p>
    <w:p>
      <w:pPr>
        <w:pStyle w:val="19"/>
        <w:jc w:val="both"/>
        <w:rPr>
          <w:rFonts w:ascii="方正仿宋_GBK" w:hAnsi="宋体" w:eastAsia="方正仿宋_GBK"/>
          <w:kern w:val="2"/>
          <w:sz w:val="28"/>
          <w:szCs w:val="21"/>
        </w:rPr>
      </w:pPr>
      <w:r>
        <w:rPr>
          <w:rFonts w:hint="eastAsia" w:ascii="方正仿宋_GBK" w:hAnsi="宋体" w:eastAsia="方正仿宋_GBK"/>
          <w:kern w:val="2"/>
          <w:sz w:val="28"/>
          <w:szCs w:val="21"/>
        </w:rPr>
        <w:t>标准名称：</w:t>
      </w:r>
      <w:r>
        <w:rPr>
          <w:rFonts w:hint="eastAsia" w:ascii="方正仿宋_GBK" w:hAnsi="宋体" w:eastAsia="方正仿宋_GBK"/>
          <w:kern w:val="2"/>
          <w:sz w:val="28"/>
          <w:szCs w:val="21"/>
          <w:u w:val="single"/>
        </w:rPr>
        <w:t xml:space="preserve"> 重大活动食品安全保障工作规范 </w:t>
      </w:r>
      <w:r>
        <w:rPr>
          <w:rFonts w:hint="eastAsia" w:ascii="方正仿宋_GBK" w:hAnsi="宋体" w:eastAsia="方正仿宋_GBK"/>
          <w:kern w:val="2"/>
          <w:sz w:val="28"/>
          <w:szCs w:val="21"/>
        </w:rPr>
        <w:t xml:space="preserve">    立项号：</w:t>
      </w:r>
      <w:r>
        <w:rPr>
          <w:rFonts w:hint="eastAsia" w:ascii="方正仿宋_GBK" w:hAnsi="宋体" w:eastAsia="方正仿宋_GBK"/>
          <w:kern w:val="2"/>
          <w:sz w:val="28"/>
          <w:szCs w:val="21"/>
          <w:u w:val="single"/>
        </w:rPr>
        <w:t xml:space="preserve"> NT2023-20 </w:t>
      </w:r>
      <w:r>
        <w:rPr>
          <w:rFonts w:hint="eastAsia" w:ascii="方正仿宋_GBK" w:hAnsi="宋体" w:eastAsia="方正仿宋_GBK"/>
          <w:kern w:val="2"/>
          <w:sz w:val="28"/>
          <w:szCs w:val="21"/>
        </w:rPr>
        <w:t xml:space="preserve">     填表日期：</w:t>
      </w:r>
      <w:r>
        <w:rPr>
          <w:rFonts w:hint="eastAsia" w:ascii="方正仿宋_GBK" w:hAnsi="宋体" w:eastAsia="方正仿宋_GBK"/>
          <w:sz w:val="28"/>
          <w:szCs w:val="21"/>
          <w:u w:val="single"/>
        </w:rPr>
        <w:t xml:space="preserve">  </w:t>
      </w:r>
      <w:r>
        <w:rPr>
          <w:rFonts w:hint="eastAsia" w:ascii="方正仿宋_GBK" w:hAnsi="宋体" w:eastAsia="方正仿宋_GBK"/>
          <w:sz w:val="28"/>
          <w:szCs w:val="21"/>
          <w:u w:val="single"/>
          <w:lang w:val="en-US" w:eastAsia="zh-CN"/>
        </w:rPr>
        <w:t>2024.1.18</w:t>
      </w:r>
      <w:r>
        <w:rPr>
          <w:rFonts w:hint="eastAsia" w:ascii="方正仿宋_GBK" w:hAnsi="宋体" w:eastAsia="方正仿宋_GBK"/>
          <w:sz w:val="28"/>
          <w:szCs w:val="21"/>
          <w:u w:val="single"/>
        </w:rPr>
        <w:t xml:space="preserve">  </w:t>
      </w:r>
    </w:p>
    <w:p>
      <w:pPr>
        <w:rPr>
          <w:rFonts w:ascii="宋体" w:hAnsi="宋体" w:eastAsia="宋体"/>
          <w:sz w:val="28"/>
          <w:szCs w:val="21"/>
        </w:rPr>
      </w:pPr>
      <w:r>
        <w:rPr>
          <w:rFonts w:hint="eastAsia" w:ascii="方正仿宋_GBK" w:hAnsi="宋体" w:eastAsia="方正仿宋_GBK"/>
          <w:sz w:val="28"/>
        </w:rPr>
        <w:t xml:space="preserve">填表单位（公章）： </w:t>
      </w:r>
      <w:r>
        <w:rPr>
          <w:rFonts w:hint="eastAsia" w:ascii="方正仿宋_GBK" w:hAnsi="宋体" w:eastAsia="方正仿宋_GBK"/>
          <w:sz w:val="28"/>
          <w:u w:val="single"/>
        </w:rPr>
        <w:t xml:space="preserve">  南通市崇川区市场监督管理局  </w:t>
      </w:r>
      <w:r>
        <w:rPr>
          <w:rFonts w:hint="eastAsia" w:ascii="方正仿宋_GBK" w:hAnsi="宋体" w:eastAsia="方正仿宋_GBK"/>
          <w:sz w:val="28"/>
        </w:rPr>
        <w:t xml:space="preserve">  填表人：</w:t>
      </w:r>
      <w:r>
        <w:rPr>
          <w:rFonts w:hint="eastAsia" w:ascii="方正仿宋_GBK" w:hAnsi="宋体" w:eastAsia="方正仿宋_GBK"/>
          <w:sz w:val="28"/>
          <w:u w:val="single"/>
        </w:rPr>
        <w:t xml:space="preserve">  </w:t>
      </w:r>
      <w:r>
        <w:rPr>
          <w:rFonts w:hint="eastAsia" w:ascii="方正仿宋_GBK" w:hAnsi="宋体" w:eastAsia="方正仿宋_GBK"/>
          <w:sz w:val="28"/>
          <w:u w:val="single"/>
          <w:lang w:val="en-US" w:eastAsia="zh-CN"/>
        </w:rPr>
        <w:t>嵇嗣</w:t>
      </w:r>
      <w:r>
        <w:rPr>
          <w:rFonts w:hint="eastAsia" w:ascii="方正仿宋_GBK" w:hAnsi="宋体" w:eastAsia="方正仿宋_GBK"/>
          <w:sz w:val="28"/>
          <w:u w:val="single"/>
        </w:rPr>
        <w:t xml:space="preserve">   </w:t>
      </w:r>
      <w:r>
        <w:rPr>
          <w:rFonts w:hint="eastAsia" w:ascii="方正仿宋_GBK" w:hAnsi="宋体" w:eastAsia="方正仿宋_GBK"/>
          <w:sz w:val="28"/>
        </w:rPr>
        <w:t xml:space="preserve">    联系方式：</w:t>
      </w:r>
      <w:r>
        <w:rPr>
          <w:rFonts w:hint="eastAsia" w:ascii="方正仿宋_GBK" w:hAnsi="宋体" w:eastAsia="方正仿宋_GBK"/>
          <w:sz w:val="28"/>
          <w:u w:val="single"/>
        </w:rPr>
        <w:t xml:space="preserve"> </w:t>
      </w:r>
      <w:r>
        <w:rPr>
          <w:rFonts w:hint="eastAsia" w:ascii="方正仿宋_GBK" w:hAnsi="宋体" w:eastAsia="方正仿宋_GBK"/>
          <w:sz w:val="28"/>
          <w:u w:val="single"/>
          <w:lang w:val="en-US" w:eastAsia="zh-CN"/>
        </w:rPr>
        <w:t>18962750651</w:t>
      </w:r>
      <w:r>
        <w:rPr>
          <w:rFonts w:hint="eastAsia" w:ascii="方正仿宋_GBK" w:hAnsi="宋体" w:eastAsia="方正仿宋_GBK"/>
          <w:sz w:val="28"/>
          <w:u w:val="single"/>
        </w:rPr>
        <w:t xml:space="preserve"> </w:t>
      </w:r>
      <w:r>
        <w:rPr>
          <w:rFonts w:hint="eastAsia" w:ascii="宋体" w:hAnsi="宋体"/>
          <w:sz w:val="28"/>
        </w:rPr>
        <w:t xml:space="preserve"> </w:t>
      </w:r>
    </w:p>
    <w:tbl>
      <w:tblPr>
        <w:tblStyle w:val="5"/>
        <w:tblW w:w="15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591"/>
        <w:gridCol w:w="3480"/>
        <w:gridCol w:w="2410"/>
        <w:gridCol w:w="326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楷体" w:eastAsia="方正黑体_GBK"/>
                <w:sz w:val="24"/>
                <w:szCs w:val="24"/>
              </w:rPr>
            </w:pPr>
            <w:r>
              <w:rPr>
                <w:rFonts w:hint="eastAsia" w:ascii="方正黑体_GBK" w:hAnsi="楷体" w:eastAsia="方正黑体_GBK"/>
                <w:sz w:val="24"/>
                <w:szCs w:val="24"/>
              </w:rPr>
              <w:t>序号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楷体" w:eastAsia="方正黑体_GBK"/>
                <w:sz w:val="24"/>
                <w:szCs w:val="24"/>
              </w:rPr>
            </w:pPr>
            <w:r>
              <w:rPr>
                <w:rFonts w:hint="eastAsia" w:ascii="方正黑体_GBK" w:hAnsi="楷体" w:eastAsia="方正黑体_GBK"/>
                <w:sz w:val="24"/>
                <w:szCs w:val="24"/>
              </w:rPr>
              <w:t>征求意见稿中章节</w:t>
            </w:r>
          </w:p>
          <w:p>
            <w:pPr>
              <w:jc w:val="center"/>
              <w:rPr>
                <w:rFonts w:ascii="方正黑体_GBK" w:hAnsi="楷体" w:eastAsia="方正黑体_GBK"/>
                <w:sz w:val="24"/>
                <w:szCs w:val="24"/>
              </w:rPr>
            </w:pPr>
            <w:r>
              <w:rPr>
                <w:rFonts w:hint="eastAsia" w:ascii="方正黑体_GBK" w:hAnsi="楷体" w:eastAsia="方正黑体_GBK"/>
                <w:sz w:val="24"/>
                <w:szCs w:val="24"/>
              </w:rPr>
              <w:t>编号或者相关内容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楷体" w:eastAsia="方正黑体_GBK"/>
                <w:sz w:val="24"/>
                <w:szCs w:val="24"/>
              </w:rPr>
            </w:pPr>
            <w:r>
              <w:rPr>
                <w:rFonts w:hint="eastAsia" w:ascii="方正黑体_GBK" w:hAnsi="楷体" w:eastAsia="方正黑体_GBK"/>
                <w:sz w:val="24"/>
                <w:szCs w:val="24"/>
              </w:rPr>
              <w:t>修改意见及理由或依据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楷体" w:eastAsia="方正黑体_GBK"/>
                <w:sz w:val="24"/>
                <w:szCs w:val="24"/>
              </w:rPr>
            </w:pPr>
            <w:r>
              <w:rPr>
                <w:rFonts w:hint="eastAsia" w:ascii="方正黑体_GBK" w:hAnsi="楷体" w:eastAsia="方正黑体_GBK"/>
                <w:sz w:val="24"/>
                <w:szCs w:val="24"/>
              </w:rPr>
              <w:t>提出单位、提出人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楷体" w:eastAsia="方正黑体_GBK"/>
                <w:sz w:val="24"/>
                <w:szCs w:val="24"/>
              </w:rPr>
            </w:pPr>
            <w:r>
              <w:rPr>
                <w:rFonts w:hint="eastAsia" w:ascii="方正黑体_GBK" w:hAnsi="楷体" w:eastAsia="方正黑体_GBK"/>
                <w:sz w:val="24"/>
                <w:szCs w:val="24"/>
              </w:rPr>
              <w:t>采纳情况</w:t>
            </w:r>
          </w:p>
          <w:p>
            <w:pPr>
              <w:jc w:val="center"/>
              <w:rPr>
                <w:rFonts w:ascii="方正黑体_GBK" w:hAnsi="楷体" w:eastAsia="方正黑体_GBK"/>
                <w:sz w:val="24"/>
                <w:szCs w:val="24"/>
              </w:rPr>
            </w:pPr>
            <w:r>
              <w:rPr>
                <w:rFonts w:hint="eastAsia" w:ascii="方正黑体_GBK" w:hAnsi="楷体" w:eastAsia="方正黑体_GBK"/>
                <w:sz w:val="24"/>
                <w:szCs w:val="24"/>
              </w:rPr>
              <w:t>（填采纳、部分采纳、未采纳）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黑体_GBK" w:hAnsi="楷体" w:eastAsia="方正黑体_GBK"/>
                <w:sz w:val="24"/>
                <w:szCs w:val="24"/>
              </w:rPr>
            </w:pPr>
            <w:r>
              <w:rPr>
                <w:rFonts w:hint="eastAsia" w:ascii="方正黑体_GBK" w:hAnsi="楷体" w:eastAsia="方正黑体_GBK"/>
                <w:sz w:val="24"/>
                <w:szCs w:val="24"/>
              </w:rPr>
              <w:t>备注（部分采纳或</w:t>
            </w:r>
          </w:p>
          <w:p>
            <w:pPr>
              <w:jc w:val="center"/>
              <w:rPr>
                <w:rFonts w:ascii="方正黑体_GBK" w:hAnsi="楷体" w:eastAsia="方正黑体_GBK"/>
                <w:sz w:val="24"/>
                <w:szCs w:val="24"/>
              </w:rPr>
            </w:pPr>
            <w:r>
              <w:rPr>
                <w:rFonts w:hint="eastAsia" w:ascii="方正黑体_GBK" w:hAnsi="楷体" w:eastAsia="方正黑体_GBK"/>
                <w:sz w:val="24"/>
                <w:szCs w:val="24"/>
              </w:rPr>
              <w:t>未采纳的理由或依据）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明确什么规模、多少人数算重大活动。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启东市市场监督管理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重大活动不仅与规模、人数相关，也要考虑活动规格、级别、是否符合公共利益等，不能简单定义。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对重大活动的定义建议加上“普通高中学业水平合格性考试”（中考）、“普通高等学校招生全国统一考试”（高考）、事业单位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招聘等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如东县市场监督管理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除了餐饮服务提供者，是否还应增加食品经营主体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南通科技职业学院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4.1.1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食品安全监管部门应提前**工作日介入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如东县市场监督管理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4.1.4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预评估由谁来组织实施，评估标准是什么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南通科技职业学院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分级监督没有明确说明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南通科技职业学院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4.4，附录E.2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建议对4.4条修正，明确采取全程、重点保障方式的标准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启东市市场监督管理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部分采纳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重大活动覆盖内容较广，宜根据活动情况、现场情况、保障要求等多方面因素综合判断保障方式。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4.4.1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重大活动食品安全保障采取全程监督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驻点或巡查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)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保障。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经济技术开发区市场监督管理局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5.2.2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建议至少报送2家意向餐饮服务提供者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如东县市场监督管理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现行法规无此要求。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未对食品留样进行规定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南通科技职业学院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6.5.3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整改自查中发现的不合格项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南通科技职业学院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6.6.3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“减少因计划不周而产生的浪费”建议修改为“避免原材料浪费”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南通市机关事务管理局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7.1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建议增加经费保障的相关声明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如东县市场监督管理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不属于本标准的范畴。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附录A.6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每餐次剩下的调味品要及时加盖并按标示的贮存条件保存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如东县市场监督管理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附录B.2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禁用的海产品建议删除海蜇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如东县市场监督管理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生食动物性水产品风险较高。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附录D.1</w:t>
            </w:r>
          </w:p>
        </w:tc>
        <w:tc>
          <w:tcPr>
            <w:tcW w:w="3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建议增加“六、留样设施”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如东县市场监督管理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采纳</w:t>
            </w:r>
          </w:p>
        </w:tc>
        <w:tc>
          <w:tcPr>
            <w:tcW w:w="25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宋体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before="120" w:beforeLines="50"/>
        <w:rPr>
          <w:rFonts w:ascii="Times New Roman" w:hAnsi="Times New Roman" w:eastAsia="方正仿宋_GBK" w:cs="Times New Roman"/>
          <w:sz w:val="24"/>
        </w:rPr>
      </w:pPr>
      <w:r>
        <w:rPr>
          <w:rFonts w:hint="eastAsia" w:ascii="宋体" w:hAnsi="宋体"/>
        </w:rPr>
        <w:t xml:space="preserve"> </w:t>
      </w:r>
      <w:r>
        <w:rPr>
          <w:rFonts w:ascii="Times New Roman" w:hAnsi="Times New Roman" w:eastAsia="方正仿宋_GBK" w:cs="Times New Roman"/>
          <w:sz w:val="24"/>
        </w:rPr>
        <w:t>汇总说明： ① 发送“征求意见稿”的单位数：</w:t>
      </w:r>
      <w:r>
        <w:rPr>
          <w:rFonts w:ascii="Times New Roman" w:hAnsi="Times New Roman" w:eastAsia="方正仿宋_GBK" w:cs="Times New Roman"/>
          <w:sz w:val="24"/>
          <w:u w:val="single"/>
        </w:rPr>
        <w:t xml:space="preserve">  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52</w:t>
      </w:r>
      <w:r>
        <w:rPr>
          <w:rFonts w:ascii="Times New Roman" w:hAnsi="Times New Roman" w:eastAsia="方正仿宋_GBK" w:cs="Times New Roman"/>
          <w:sz w:val="24"/>
          <w:u w:val="single"/>
        </w:rPr>
        <w:t xml:space="preserve">  </w:t>
      </w:r>
      <w:r>
        <w:rPr>
          <w:rFonts w:ascii="Times New Roman" w:hAnsi="Times New Roman" w:eastAsia="方正仿宋_GBK" w:cs="Times New Roman"/>
          <w:sz w:val="24"/>
        </w:rPr>
        <w:t>个。</w:t>
      </w:r>
    </w:p>
    <w:p>
      <w:pPr>
        <w:adjustRightInd w:val="0"/>
        <w:snapToGrid w:val="0"/>
        <w:ind w:firstLine="1320" w:firstLineChars="550"/>
        <w:rPr>
          <w:rFonts w:ascii="Times New Roman" w:hAnsi="Times New Roman" w:eastAsia="方正仿宋_GBK" w:cs="Times New Roman"/>
          <w:sz w:val="24"/>
        </w:rPr>
      </w:pPr>
      <w:r>
        <w:rPr>
          <w:rFonts w:hint="eastAsia" w:ascii="Times New Roman" w:hAnsi="Times New Roman" w:eastAsia="方正仿宋_GBK" w:cs="Times New Roman"/>
          <w:sz w:val="24"/>
        </w:rPr>
        <w:t xml:space="preserve"> </w:t>
      </w:r>
      <w:r>
        <w:rPr>
          <w:rFonts w:ascii="Times New Roman" w:hAnsi="Times New Roman" w:eastAsia="方正仿宋_GBK" w:cs="Times New Roman"/>
          <w:sz w:val="24"/>
        </w:rPr>
        <w:t>② 收到“征求意见稿”后，回函的单位数：</w:t>
      </w:r>
      <w:r>
        <w:rPr>
          <w:rFonts w:ascii="Times New Roman" w:hAnsi="Times New Roman" w:eastAsia="方正仿宋_GBK" w:cs="Times New Roman"/>
          <w:sz w:val="24"/>
          <w:u w:val="single"/>
        </w:rPr>
        <w:t xml:space="preserve"> 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30</w:t>
      </w:r>
      <w:r>
        <w:rPr>
          <w:rFonts w:ascii="Times New Roman" w:hAnsi="Times New Roman" w:eastAsia="方正仿宋_GBK" w:cs="Times New Roman"/>
          <w:sz w:val="24"/>
          <w:u w:val="single"/>
        </w:rPr>
        <w:t xml:space="preserve">   </w:t>
      </w:r>
      <w:r>
        <w:rPr>
          <w:rFonts w:ascii="Times New Roman" w:hAnsi="Times New Roman" w:eastAsia="方正仿宋_GBK" w:cs="Times New Roman"/>
          <w:sz w:val="24"/>
        </w:rPr>
        <w:t>个，是否包括相关行政主管部门 ：</w:t>
      </w:r>
      <w:r>
        <w:rPr>
          <w:rFonts w:hint="eastAsia" w:eastAsia="方正仿宋_GBK" w:cs="Times New Roman"/>
          <w:sz w:val="24"/>
          <w:lang w:eastAsia="zh-CN"/>
        </w:rPr>
        <w:t>☑</w:t>
      </w:r>
      <w:r>
        <w:rPr>
          <w:rFonts w:ascii="Times New Roman" w:hAnsi="Times New Roman" w:eastAsia="方正仿宋_GBK" w:cs="Times New Roman"/>
          <w:sz w:val="24"/>
        </w:rPr>
        <w:t>是   □否。</w:t>
      </w:r>
    </w:p>
    <w:p>
      <w:pPr>
        <w:adjustRightInd w:val="0"/>
        <w:snapToGrid w:val="0"/>
        <w:ind w:firstLine="1320" w:firstLineChars="550"/>
        <w:rPr>
          <w:rFonts w:ascii="Times New Roman" w:hAnsi="Times New Roman" w:eastAsia="方正仿宋_GBK" w:cs="Times New Roman"/>
          <w:sz w:val="24"/>
        </w:rPr>
      </w:pPr>
      <w:r>
        <w:rPr>
          <w:rFonts w:hint="eastAsia" w:ascii="Times New Roman" w:hAnsi="Times New Roman" w:eastAsia="方正仿宋_GBK" w:cs="Times New Roman"/>
          <w:sz w:val="24"/>
        </w:rPr>
        <w:t xml:space="preserve"> </w:t>
      </w:r>
      <w:r>
        <w:rPr>
          <w:rFonts w:ascii="Times New Roman" w:hAnsi="Times New Roman" w:eastAsia="方正仿宋_GBK" w:cs="Times New Roman"/>
          <w:sz w:val="24"/>
        </w:rPr>
        <w:t>③ 收到“征求意见稿”后，回函并有建议或意见的单位数：</w:t>
      </w:r>
      <w:r>
        <w:rPr>
          <w:rFonts w:ascii="Times New Roman" w:hAnsi="Times New Roman" w:eastAsia="方正仿宋_GBK" w:cs="Times New Roman"/>
          <w:sz w:val="24"/>
          <w:u w:val="single"/>
        </w:rPr>
        <w:t xml:space="preserve"> 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24"/>
          <w:u w:val="single"/>
        </w:rPr>
        <w:t xml:space="preserve">  </w:t>
      </w:r>
      <w:r>
        <w:rPr>
          <w:rFonts w:ascii="Times New Roman" w:hAnsi="Times New Roman" w:eastAsia="方正仿宋_GBK" w:cs="Times New Roman"/>
          <w:sz w:val="24"/>
        </w:rPr>
        <w:t xml:space="preserve"> 个。</w:t>
      </w:r>
    </w:p>
    <w:p>
      <w:pPr>
        <w:adjustRightInd w:val="0"/>
        <w:snapToGrid w:val="0"/>
        <w:rPr>
          <w:rFonts w:ascii="Times New Roman" w:hAnsi="Times New Roman" w:eastAsia="方正仿宋_GBK" w:cs="Times New Roman"/>
          <w:sz w:val="36"/>
          <w:szCs w:val="30"/>
        </w:rPr>
      </w:pPr>
      <w:r>
        <w:rPr>
          <w:rFonts w:ascii="Times New Roman" w:hAnsi="Times New Roman" w:eastAsia="方正仿宋_GBK" w:cs="Times New Roman"/>
          <w:sz w:val="24"/>
        </w:rPr>
        <w:t xml:space="preserve">           </w:t>
      </w:r>
      <w:r>
        <w:rPr>
          <w:rFonts w:hint="eastAsia" w:ascii="Times New Roman" w:hAnsi="Times New Roman" w:eastAsia="方正仿宋_GBK" w:cs="Times New Roman"/>
          <w:sz w:val="24"/>
        </w:rPr>
        <w:t xml:space="preserve"> </w:t>
      </w:r>
      <w:r>
        <w:rPr>
          <w:rFonts w:ascii="Times New Roman" w:hAnsi="Times New Roman" w:eastAsia="方正仿宋_GBK" w:cs="Times New Roman"/>
          <w:sz w:val="24"/>
        </w:rPr>
        <w:t>④ 采纳意见：</w:t>
      </w:r>
      <w:r>
        <w:rPr>
          <w:rFonts w:ascii="Times New Roman" w:hAnsi="Times New Roman" w:eastAsia="方正仿宋_GBK" w:cs="Times New Roman"/>
          <w:sz w:val="24"/>
          <w:u w:val="single"/>
        </w:rPr>
        <w:t xml:space="preserve"> 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11</w:t>
      </w:r>
      <w:r>
        <w:rPr>
          <w:rFonts w:ascii="Times New Roman" w:hAnsi="Times New Roman" w:eastAsia="方正仿宋_GBK" w:cs="Times New Roman"/>
          <w:sz w:val="24"/>
          <w:u w:val="single"/>
        </w:rPr>
        <w:t xml:space="preserve"> </w:t>
      </w:r>
      <w:r>
        <w:rPr>
          <w:rFonts w:ascii="Times New Roman" w:hAnsi="Times New Roman" w:eastAsia="方正仿宋_GBK" w:cs="Times New Roman"/>
          <w:sz w:val="24"/>
        </w:rPr>
        <w:t>条；部分采纳：</w:t>
      </w:r>
      <w:r>
        <w:rPr>
          <w:rFonts w:ascii="Times New Roman" w:hAnsi="Times New Roman" w:eastAsia="方正仿宋_GBK" w:cs="Times New Roman"/>
          <w:sz w:val="24"/>
          <w:u w:val="single"/>
        </w:rPr>
        <w:t xml:space="preserve">  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24"/>
          <w:u w:val="single"/>
        </w:rPr>
        <w:t xml:space="preserve">  </w:t>
      </w:r>
      <w:r>
        <w:rPr>
          <w:rFonts w:ascii="Times New Roman" w:hAnsi="Times New Roman" w:eastAsia="方正仿宋_GBK" w:cs="Times New Roman"/>
          <w:sz w:val="24"/>
        </w:rPr>
        <w:t>条；未采纳：</w:t>
      </w:r>
      <w:r>
        <w:rPr>
          <w:rFonts w:ascii="Times New Roman" w:hAnsi="Times New Roman" w:eastAsia="方正仿宋_GBK" w:cs="Times New Roman"/>
          <w:sz w:val="24"/>
          <w:u w:val="single"/>
        </w:rPr>
        <w:t xml:space="preserve">  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24"/>
          <w:u w:val="single"/>
        </w:rPr>
        <w:t xml:space="preserve">  </w:t>
      </w:r>
      <w:r>
        <w:rPr>
          <w:rFonts w:ascii="Times New Roman" w:hAnsi="Times New Roman" w:eastAsia="方正仿宋_GBK" w:cs="Times New Roman"/>
          <w:sz w:val="24"/>
        </w:rPr>
        <w:t>条。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5A8B8A-70B0-4D22-8E38-90864950CFD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83B53822-BEF5-4F68-9432-42E157123BE7}"/>
  </w:font>
  <w:font w:name="CIDFont + F4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9F9C114F-E710-46B5-B735-2AA51567261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22E4EE0-0213-454D-ADD4-050123274C7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3278BC23-44EC-4653-8F11-239AD4099E9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CDB4C672-323D-4D7C-9CC0-206D18D4039B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E27A1C21-7D61-4D8A-B85E-CB6B4834686E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2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1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6D7DA798"/>
    <w:multiLevelType w:val="singleLevel"/>
    <w:tmpl w:val="6D7DA798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005135D5"/>
    <w:rsid w:val="005135D5"/>
    <w:rsid w:val="005D3FFD"/>
    <w:rsid w:val="006F6208"/>
    <w:rsid w:val="00B129EB"/>
    <w:rsid w:val="00C42EC8"/>
    <w:rsid w:val="01337E31"/>
    <w:rsid w:val="013419E4"/>
    <w:rsid w:val="014D28C9"/>
    <w:rsid w:val="01705760"/>
    <w:rsid w:val="01747E56"/>
    <w:rsid w:val="01804F42"/>
    <w:rsid w:val="018915F5"/>
    <w:rsid w:val="01C61201"/>
    <w:rsid w:val="02502407"/>
    <w:rsid w:val="027C34D6"/>
    <w:rsid w:val="02AA52C5"/>
    <w:rsid w:val="03157BD1"/>
    <w:rsid w:val="03473FE2"/>
    <w:rsid w:val="03BC6DDA"/>
    <w:rsid w:val="047645F1"/>
    <w:rsid w:val="04996960"/>
    <w:rsid w:val="04BE329E"/>
    <w:rsid w:val="04E762BC"/>
    <w:rsid w:val="05352D43"/>
    <w:rsid w:val="05572998"/>
    <w:rsid w:val="064317DB"/>
    <w:rsid w:val="067526A6"/>
    <w:rsid w:val="06A0494E"/>
    <w:rsid w:val="06A559D7"/>
    <w:rsid w:val="079A30C7"/>
    <w:rsid w:val="07D63618"/>
    <w:rsid w:val="083B1BA5"/>
    <w:rsid w:val="08E12275"/>
    <w:rsid w:val="098950E7"/>
    <w:rsid w:val="099D032A"/>
    <w:rsid w:val="09DA6CC4"/>
    <w:rsid w:val="0A2A590B"/>
    <w:rsid w:val="0A465769"/>
    <w:rsid w:val="0A474359"/>
    <w:rsid w:val="0A692464"/>
    <w:rsid w:val="0A774327"/>
    <w:rsid w:val="0AD64EF3"/>
    <w:rsid w:val="0B0B6177"/>
    <w:rsid w:val="0B5556AD"/>
    <w:rsid w:val="0B945BF7"/>
    <w:rsid w:val="0BBC6431"/>
    <w:rsid w:val="0C1D3165"/>
    <w:rsid w:val="0C811A13"/>
    <w:rsid w:val="0C9F1F93"/>
    <w:rsid w:val="0D6E60A1"/>
    <w:rsid w:val="0DBA0997"/>
    <w:rsid w:val="0DE176B5"/>
    <w:rsid w:val="0E1C01BD"/>
    <w:rsid w:val="0E5C6026"/>
    <w:rsid w:val="0E781A21"/>
    <w:rsid w:val="0E93755A"/>
    <w:rsid w:val="0F282ABF"/>
    <w:rsid w:val="0FCD4615"/>
    <w:rsid w:val="0FE4382B"/>
    <w:rsid w:val="0FF523AC"/>
    <w:rsid w:val="10183DC5"/>
    <w:rsid w:val="10273827"/>
    <w:rsid w:val="107F4B39"/>
    <w:rsid w:val="108B3742"/>
    <w:rsid w:val="115D6D32"/>
    <w:rsid w:val="11DD37F5"/>
    <w:rsid w:val="11E8797E"/>
    <w:rsid w:val="122B4561"/>
    <w:rsid w:val="12835254"/>
    <w:rsid w:val="1292406D"/>
    <w:rsid w:val="12A37A1D"/>
    <w:rsid w:val="12AE4D92"/>
    <w:rsid w:val="12E02449"/>
    <w:rsid w:val="13F21D02"/>
    <w:rsid w:val="14273AF2"/>
    <w:rsid w:val="142E194E"/>
    <w:rsid w:val="14592DB5"/>
    <w:rsid w:val="148878D4"/>
    <w:rsid w:val="14F1466E"/>
    <w:rsid w:val="1517512B"/>
    <w:rsid w:val="151A2A79"/>
    <w:rsid w:val="155720EA"/>
    <w:rsid w:val="155B5D52"/>
    <w:rsid w:val="161E1C9F"/>
    <w:rsid w:val="167574CD"/>
    <w:rsid w:val="176D55D6"/>
    <w:rsid w:val="18030DEB"/>
    <w:rsid w:val="18207002"/>
    <w:rsid w:val="182D57C3"/>
    <w:rsid w:val="18750419"/>
    <w:rsid w:val="18AB0FC7"/>
    <w:rsid w:val="18B77A32"/>
    <w:rsid w:val="1918427E"/>
    <w:rsid w:val="193D6713"/>
    <w:rsid w:val="198F5C74"/>
    <w:rsid w:val="199D57DA"/>
    <w:rsid w:val="1A520CAC"/>
    <w:rsid w:val="1ACB251D"/>
    <w:rsid w:val="1B467B65"/>
    <w:rsid w:val="1B557236"/>
    <w:rsid w:val="1B905B99"/>
    <w:rsid w:val="1C0E25F6"/>
    <w:rsid w:val="1C3164F9"/>
    <w:rsid w:val="1C4B5D55"/>
    <w:rsid w:val="1CA66CCA"/>
    <w:rsid w:val="1CE73720"/>
    <w:rsid w:val="1DC66941"/>
    <w:rsid w:val="1DCE44CB"/>
    <w:rsid w:val="1E1B192D"/>
    <w:rsid w:val="1E1E141D"/>
    <w:rsid w:val="1F176911"/>
    <w:rsid w:val="1F9B575F"/>
    <w:rsid w:val="20612C6E"/>
    <w:rsid w:val="20645B1C"/>
    <w:rsid w:val="206F0FA3"/>
    <w:rsid w:val="211F7A54"/>
    <w:rsid w:val="21295DAD"/>
    <w:rsid w:val="21500624"/>
    <w:rsid w:val="21812DF9"/>
    <w:rsid w:val="21817587"/>
    <w:rsid w:val="21882D14"/>
    <w:rsid w:val="21A305B1"/>
    <w:rsid w:val="223C6316"/>
    <w:rsid w:val="22655D1C"/>
    <w:rsid w:val="22FF5A95"/>
    <w:rsid w:val="236F20B7"/>
    <w:rsid w:val="24260883"/>
    <w:rsid w:val="25044D32"/>
    <w:rsid w:val="252D36C6"/>
    <w:rsid w:val="25460531"/>
    <w:rsid w:val="254D205D"/>
    <w:rsid w:val="25D83CCD"/>
    <w:rsid w:val="25FE4872"/>
    <w:rsid w:val="261E334D"/>
    <w:rsid w:val="261F43BC"/>
    <w:rsid w:val="263A3A12"/>
    <w:rsid w:val="269B003D"/>
    <w:rsid w:val="275A5F49"/>
    <w:rsid w:val="28000E10"/>
    <w:rsid w:val="280C2369"/>
    <w:rsid w:val="282065E2"/>
    <w:rsid w:val="28332291"/>
    <w:rsid w:val="283746ED"/>
    <w:rsid w:val="28420734"/>
    <w:rsid w:val="28435115"/>
    <w:rsid w:val="285162EE"/>
    <w:rsid w:val="2890116A"/>
    <w:rsid w:val="28AB3F11"/>
    <w:rsid w:val="28F7105B"/>
    <w:rsid w:val="290C5594"/>
    <w:rsid w:val="29736661"/>
    <w:rsid w:val="299C7603"/>
    <w:rsid w:val="29FB03FD"/>
    <w:rsid w:val="29FE2550"/>
    <w:rsid w:val="2A3161DA"/>
    <w:rsid w:val="2A465F84"/>
    <w:rsid w:val="2A521CB7"/>
    <w:rsid w:val="2A522B7B"/>
    <w:rsid w:val="2A9F37BB"/>
    <w:rsid w:val="2ABE3F05"/>
    <w:rsid w:val="2C5A7B7D"/>
    <w:rsid w:val="2C8211F5"/>
    <w:rsid w:val="2C8C59E4"/>
    <w:rsid w:val="2E4D4102"/>
    <w:rsid w:val="2E784081"/>
    <w:rsid w:val="2E7B3CAF"/>
    <w:rsid w:val="2EA66438"/>
    <w:rsid w:val="2EC21951"/>
    <w:rsid w:val="2ECD3B3C"/>
    <w:rsid w:val="2F1071AE"/>
    <w:rsid w:val="2F275E85"/>
    <w:rsid w:val="2F9140A3"/>
    <w:rsid w:val="2FDE770B"/>
    <w:rsid w:val="308260DF"/>
    <w:rsid w:val="31474044"/>
    <w:rsid w:val="318E7F5F"/>
    <w:rsid w:val="319A45CE"/>
    <w:rsid w:val="3316226B"/>
    <w:rsid w:val="336E3E55"/>
    <w:rsid w:val="339F21E7"/>
    <w:rsid w:val="345319C9"/>
    <w:rsid w:val="345921AF"/>
    <w:rsid w:val="348E603C"/>
    <w:rsid w:val="34BA2D16"/>
    <w:rsid w:val="35277E8E"/>
    <w:rsid w:val="365F4C8E"/>
    <w:rsid w:val="37096660"/>
    <w:rsid w:val="37486CF9"/>
    <w:rsid w:val="3759649F"/>
    <w:rsid w:val="37F25305"/>
    <w:rsid w:val="38107BD1"/>
    <w:rsid w:val="38444E4E"/>
    <w:rsid w:val="388C1224"/>
    <w:rsid w:val="392532EA"/>
    <w:rsid w:val="39384E06"/>
    <w:rsid w:val="396F462D"/>
    <w:rsid w:val="399068B8"/>
    <w:rsid w:val="39E81828"/>
    <w:rsid w:val="3A3834CC"/>
    <w:rsid w:val="3A5802CA"/>
    <w:rsid w:val="3AE31852"/>
    <w:rsid w:val="3B655C2E"/>
    <w:rsid w:val="3BCC0821"/>
    <w:rsid w:val="3BD4138E"/>
    <w:rsid w:val="3BEC5D78"/>
    <w:rsid w:val="3C354697"/>
    <w:rsid w:val="3CBA049B"/>
    <w:rsid w:val="3D06201E"/>
    <w:rsid w:val="3D523DDD"/>
    <w:rsid w:val="3D7E0E5B"/>
    <w:rsid w:val="3DBA4721"/>
    <w:rsid w:val="3E1146C5"/>
    <w:rsid w:val="3E332713"/>
    <w:rsid w:val="3E605C49"/>
    <w:rsid w:val="3EDC3F6D"/>
    <w:rsid w:val="3EEB0DB2"/>
    <w:rsid w:val="3F381C1A"/>
    <w:rsid w:val="3F7A264E"/>
    <w:rsid w:val="400E2E5A"/>
    <w:rsid w:val="40147D2F"/>
    <w:rsid w:val="401964AD"/>
    <w:rsid w:val="40421BC6"/>
    <w:rsid w:val="40FF27BA"/>
    <w:rsid w:val="41DA4806"/>
    <w:rsid w:val="4240590F"/>
    <w:rsid w:val="4280651B"/>
    <w:rsid w:val="42CF474D"/>
    <w:rsid w:val="43A55750"/>
    <w:rsid w:val="44263B3C"/>
    <w:rsid w:val="44311163"/>
    <w:rsid w:val="44760DBC"/>
    <w:rsid w:val="44CD69D2"/>
    <w:rsid w:val="4519149A"/>
    <w:rsid w:val="455D0E5A"/>
    <w:rsid w:val="45BA180A"/>
    <w:rsid w:val="45E64ED0"/>
    <w:rsid w:val="46020C7E"/>
    <w:rsid w:val="461709BD"/>
    <w:rsid w:val="469737B4"/>
    <w:rsid w:val="46B6571D"/>
    <w:rsid w:val="4706686A"/>
    <w:rsid w:val="47141462"/>
    <w:rsid w:val="473D49F9"/>
    <w:rsid w:val="478314B8"/>
    <w:rsid w:val="47CD236C"/>
    <w:rsid w:val="482C34DB"/>
    <w:rsid w:val="48CF657A"/>
    <w:rsid w:val="48F41306"/>
    <w:rsid w:val="490A1AC7"/>
    <w:rsid w:val="4944585F"/>
    <w:rsid w:val="497610D8"/>
    <w:rsid w:val="498812A9"/>
    <w:rsid w:val="49EA2B4C"/>
    <w:rsid w:val="4A575CAD"/>
    <w:rsid w:val="4A8D01CF"/>
    <w:rsid w:val="4AC04625"/>
    <w:rsid w:val="4AE6521C"/>
    <w:rsid w:val="4B005A41"/>
    <w:rsid w:val="4B5430C1"/>
    <w:rsid w:val="4B7F0E9E"/>
    <w:rsid w:val="4BE62C45"/>
    <w:rsid w:val="4C8F27BD"/>
    <w:rsid w:val="4CA8639C"/>
    <w:rsid w:val="4D104659"/>
    <w:rsid w:val="4D6A3C6D"/>
    <w:rsid w:val="4DC37584"/>
    <w:rsid w:val="4DCC10B4"/>
    <w:rsid w:val="4DFB4FC4"/>
    <w:rsid w:val="4E28522C"/>
    <w:rsid w:val="4ED01B18"/>
    <w:rsid w:val="4FB30FEF"/>
    <w:rsid w:val="4FD25316"/>
    <w:rsid w:val="500C19CB"/>
    <w:rsid w:val="500F46B5"/>
    <w:rsid w:val="512D71E1"/>
    <w:rsid w:val="51835DB9"/>
    <w:rsid w:val="51A263AF"/>
    <w:rsid w:val="51A32658"/>
    <w:rsid w:val="51E07984"/>
    <w:rsid w:val="51FB665E"/>
    <w:rsid w:val="5282510C"/>
    <w:rsid w:val="52C072B7"/>
    <w:rsid w:val="53055C47"/>
    <w:rsid w:val="53BD37AF"/>
    <w:rsid w:val="54315517"/>
    <w:rsid w:val="54773026"/>
    <w:rsid w:val="54DA4AA4"/>
    <w:rsid w:val="54E122C5"/>
    <w:rsid w:val="55060FDB"/>
    <w:rsid w:val="55E01C7A"/>
    <w:rsid w:val="565E6B52"/>
    <w:rsid w:val="57964CAA"/>
    <w:rsid w:val="57A6491F"/>
    <w:rsid w:val="585F4955"/>
    <w:rsid w:val="587B6B00"/>
    <w:rsid w:val="591F41D7"/>
    <w:rsid w:val="59605E6B"/>
    <w:rsid w:val="59A303CF"/>
    <w:rsid w:val="59D25CC3"/>
    <w:rsid w:val="5A3B245E"/>
    <w:rsid w:val="5A9D614B"/>
    <w:rsid w:val="5B2A7F17"/>
    <w:rsid w:val="5B9E7EF2"/>
    <w:rsid w:val="5C167AC0"/>
    <w:rsid w:val="5C1C3F79"/>
    <w:rsid w:val="5CB91735"/>
    <w:rsid w:val="5CFA0083"/>
    <w:rsid w:val="5D3721C5"/>
    <w:rsid w:val="5D412AFE"/>
    <w:rsid w:val="5D712F86"/>
    <w:rsid w:val="5D9B13C0"/>
    <w:rsid w:val="5DAA577A"/>
    <w:rsid w:val="5DCC2F1D"/>
    <w:rsid w:val="5E0C6438"/>
    <w:rsid w:val="5E8C5093"/>
    <w:rsid w:val="5E986B82"/>
    <w:rsid w:val="5E9B3370"/>
    <w:rsid w:val="5F4C202E"/>
    <w:rsid w:val="5FD71B35"/>
    <w:rsid w:val="5FE11B5D"/>
    <w:rsid w:val="60332FED"/>
    <w:rsid w:val="60874209"/>
    <w:rsid w:val="60B655F6"/>
    <w:rsid w:val="60DB59A8"/>
    <w:rsid w:val="61020CA3"/>
    <w:rsid w:val="6154029F"/>
    <w:rsid w:val="61653D83"/>
    <w:rsid w:val="62CB6A17"/>
    <w:rsid w:val="62D26257"/>
    <w:rsid w:val="63675607"/>
    <w:rsid w:val="63832791"/>
    <w:rsid w:val="63D36162"/>
    <w:rsid w:val="640909D5"/>
    <w:rsid w:val="641450A2"/>
    <w:rsid w:val="64177F24"/>
    <w:rsid w:val="648970C4"/>
    <w:rsid w:val="64C93A66"/>
    <w:rsid w:val="64CF364D"/>
    <w:rsid w:val="65F313C0"/>
    <w:rsid w:val="66187B0E"/>
    <w:rsid w:val="664C38E3"/>
    <w:rsid w:val="66ED4CED"/>
    <w:rsid w:val="678B68FC"/>
    <w:rsid w:val="67A12429"/>
    <w:rsid w:val="67A306CC"/>
    <w:rsid w:val="68A77EB1"/>
    <w:rsid w:val="69925F8F"/>
    <w:rsid w:val="69992CD3"/>
    <w:rsid w:val="6A042842"/>
    <w:rsid w:val="6ADA2AE3"/>
    <w:rsid w:val="6AFC5E6B"/>
    <w:rsid w:val="6BD239F5"/>
    <w:rsid w:val="6C054149"/>
    <w:rsid w:val="6C134C2B"/>
    <w:rsid w:val="6C1A06BB"/>
    <w:rsid w:val="6C302E1C"/>
    <w:rsid w:val="6C8A7F3A"/>
    <w:rsid w:val="6CAA3416"/>
    <w:rsid w:val="6D010C46"/>
    <w:rsid w:val="6D0F52CA"/>
    <w:rsid w:val="6D374BD9"/>
    <w:rsid w:val="6DAD6E4C"/>
    <w:rsid w:val="6E01129C"/>
    <w:rsid w:val="6E261A8E"/>
    <w:rsid w:val="6E3F4881"/>
    <w:rsid w:val="6E4C7734"/>
    <w:rsid w:val="6E606230"/>
    <w:rsid w:val="6EB36E6B"/>
    <w:rsid w:val="6F63459A"/>
    <w:rsid w:val="70022968"/>
    <w:rsid w:val="70203B64"/>
    <w:rsid w:val="70B620A2"/>
    <w:rsid w:val="70BD4605"/>
    <w:rsid w:val="70D145E6"/>
    <w:rsid w:val="71201514"/>
    <w:rsid w:val="7155040B"/>
    <w:rsid w:val="718B5B6E"/>
    <w:rsid w:val="72497E1F"/>
    <w:rsid w:val="729E53CD"/>
    <w:rsid w:val="73546703"/>
    <w:rsid w:val="73AB6310"/>
    <w:rsid w:val="74B8174D"/>
    <w:rsid w:val="74F92F65"/>
    <w:rsid w:val="756F6CC5"/>
    <w:rsid w:val="758050BC"/>
    <w:rsid w:val="75A01D71"/>
    <w:rsid w:val="75BE1614"/>
    <w:rsid w:val="765309D9"/>
    <w:rsid w:val="777926FC"/>
    <w:rsid w:val="785F3F68"/>
    <w:rsid w:val="78BA121E"/>
    <w:rsid w:val="790E0FE8"/>
    <w:rsid w:val="792B39C1"/>
    <w:rsid w:val="792C3015"/>
    <w:rsid w:val="79BB6726"/>
    <w:rsid w:val="7A0C016B"/>
    <w:rsid w:val="7B1E43F9"/>
    <w:rsid w:val="7C20716D"/>
    <w:rsid w:val="7C362329"/>
    <w:rsid w:val="7C3E27E7"/>
    <w:rsid w:val="7C5933D3"/>
    <w:rsid w:val="7C651567"/>
    <w:rsid w:val="7C927DEF"/>
    <w:rsid w:val="7D52649C"/>
    <w:rsid w:val="7DD22588"/>
    <w:rsid w:val="7E025544"/>
    <w:rsid w:val="7E3378EE"/>
    <w:rsid w:val="7EF519E1"/>
    <w:rsid w:val="7F6F5E81"/>
    <w:rsid w:val="7F78190B"/>
    <w:rsid w:val="7FA62F16"/>
    <w:rsid w:val="7FA65630"/>
    <w:rsid w:val="7FB9553C"/>
    <w:rsid w:val="7FBF124F"/>
    <w:rsid w:val="7F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99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paragraph" w:customStyle="1" w:styleId="9">
    <w:name w:val="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styleId="10">
    <w:name w:val="List Paragraph"/>
    <w:basedOn w:val="1"/>
    <w:autoRedefine/>
    <w:qFormat/>
    <w:uiPriority w:val="1"/>
    <w:pPr>
      <w:ind w:left="455" w:hanging="318"/>
    </w:pPr>
    <w:rPr>
      <w:rFonts w:ascii="黑体" w:hAnsi="黑体" w:eastAsia="黑体" w:cs="黑体"/>
      <w:lang w:val="en-US" w:eastAsia="en-US" w:bidi="en-US"/>
    </w:rPr>
  </w:style>
  <w:style w:type="character" w:customStyle="1" w:styleId="11">
    <w:name w:val="fontstyle01"/>
    <w:basedOn w:val="7"/>
    <w:autoRedefine/>
    <w:qFormat/>
    <w:uiPriority w:val="0"/>
    <w:rPr>
      <w:rFonts w:ascii="CIDFont + F4" w:hAnsi="CIDFont + F4" w:eastAsia="CIDFont + F4" w:cs="CIDFont + F4"/>
      <w:color w:val="000000"/>
      <w:sz w:val="32"/>
      <w:szCs w:val="32"/>
    </w:rPr>
  </w:style>
  <w:style w:type="paragraph" w:customStyle="1" w:styleId="12">
    <w:name w:val="标准文件_章标题"/>
    <w:next w:val="13"/>
    <w:autoRedefine/>
    <w:qFormat/>
    <w:uiPriority w:val="0"/>
    <w:pPr>
      <w:numPr>
        <w:ilvl w:val="1"/>
        <w:numId w:val="1"/>
      </w:numPr>
      <w:spacing w:before="100" w:beforeLines="100" w:after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3">
    <w:name w:val="标准文件_段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4">
    <w:name w:val="font21"/>
    <w:basedOn w:val="7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41"/>
    <w:basedOn w:val="7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8">
    <w:name w:val="font31"/>
    <w:basedOn w:val="7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19">
    <w:name w:val="封面标准名称"/>
    <w:basedOn w:val="1"/>
    <w:autoRedefine/>
    <w:qFormat/>
    <w:uiPriority w:val="0"/>
    <w:pPr>
      <w:spacing w:line="680" w:lineRule="exact"/>
      <w:jc w:val="center"/>
      <w:textAlignment w:val="center"/>
    </w:pPr>
    <w:rPr>
      <w:rFonts w:ascii="黑体" w:hAnsi="黑体" w:eastAsia="黑体" w:cs="宋体"/>
      <w:kern w:val="0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2</TotalTime>
  <ScaleCrop>false</ScaleCrop>
  <LinksUpToDate>false</LinksUpToDate>
  <CharactersWithSpaces>228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2017-12-26T09:15:00Z</dcterms:created>
  <dc:creator>张鸿</dc:creator>
  <cp:lastModifiedBy>ly</cp:lastModifiedBy>
  <cp:lastPrinted>2021-12-16T10:42:00Z</cp:lastPrinted>
  <dcterms:modified xsi:type="dcterms:W3CDTF">2024-03-14T12:49:55Z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5490F3F1563E486E91ECB97B2F283874_13</vt:lpwstr>
  </property>
</Properties>
</file>