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firstLine="0" w:firstLineChars="0"/>
        <w:jc w:val="center"/>
        <w:textAlignment w:val="auto"/>
        <w:rPr>
          <w:rFonts w:hint="eastAsia" w:eastAsia="方正小标宋_GBK"/>
          <w:kern w:val="0"/>
          <w:sz w:val="44"/>
          <w:szCs w:val="44"/>
          <w:lang w:eastAsia="zh-CN"/>
        </w:rPr>
      </w:pPr>
      <w:r>
        <w:rPr>
          <w:rFonts w:hint="eastAsia" w:ascii="黑体" w:hAnsi="宋体" w:eastAsia="黑体"/>
          <w:bCs/>
          <w:sz w:val="44"/>
          <w:szCs w:val="44"/>
        </w:rPr>
        <w:t>南通市地方标准</w:t>
      </w:r>
      <w:r>
        <w:rPr>
          <w:rFonts w:hint="eastAsia" w:eastAsia="方正小标宋_GBK"/>
          <w:kern w:val="0"/>
          <w:sz w:val="44"/>
          <w:szCs w:val="44"/>
          <w:lang w:eastAsia="zh-CN"/>
        </w:rPr>
        <w:t>《</w:t>
      </w:r>
      <w:r>
        <w:rPr>
          <w:rFonts w:hint="eastAsia" w:eastAsia="方正小标宋_GBK"/>
          <w:kern w:val="0"/>
          <w:sz w:val="44"/>
          <w:szCs w:val="44"/>
        </w:rPr>
        <w:t>道路货物装载源头单位超限超载安全管理</w:t>
      </w:r>
      <w:r>
        <w:rPr>
          <w:rFonts w:hint="eastAsia" w:eastAsia="方正小标宋_GBK"/>
          <w:kern w:val="0"/>
          <w:sz w:val="44"/>
          <w:szCs w:val="44"/>
          <w:lang w:eastAsia="zh-CN"/>
        </w:rPr>
        <w:t>规范》</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firstLine="0" w:firstLineChars="0"/>
        <w:jc w:val="center"/>
        <w:textAlignment w:val="auto"/>
        <w:rPr>
          <w:rFonts w:eastAsia="方正小标宋_GBK"/>
          <w:kern w:val="0"/>
          <w:sz w:val="44"/>
          <w:szCs w:val="44"/>
        </w:rPr>
      </w:pPr>
      <w:r>
        <w:rPr>
          <w:rFonts w:hint="eastAsia" w:eastAsia="方正小标宋_GBK"/>
          <w:kern w:val="0"/>
          <w:sz w:val="44"/>
          <w:szCs w:val="44"/>
        </w:rPr>
        <w:t>编制说明</w:t>
      </w:r>
    </w:p>
    <w:p>
      <w:pPr>
        <w:pStyle w:val="2"/>
        <w:pageBreakBefore w:val="0"/>
        <w:widowControl w:val="0"/>
        <w:numPr>
          <w:numId w:val="0"/>
        </w:numPr>
        <w:kinsoku/>
        <w:wordWrap/>
        <w:overflowPunct/>
        <w:topLinePunct w:val="0"/>
        <w:autoSpaceDE/>
        <w:autoSpaceDN/>
        <w:bidi w:val="0"/>
        <w:adjustRightInd/>
        <w:snapToGrid/>
        <w:spacing w:before="0" w:beforeLines="0" w:after="0" w:afterLines="0" w:line="520" w:lineRule="exact"/>
        <w:ind w:leftChars="0" w:firstLine="643" w:firstLineChars="200"/>
        <w:textAlignment w:val="auto"/>
        <w:rPr>
          <w:rFonts w:ascii="方正黑体_GBK"/>
          <w:sz w:val="32"/>
          <w:szCs w:val="48"/>
        </w:rPr>
      </w:pPr>
      <w:r>
        <w:rPr>
          <w:rFonts w:hint="eastAsia" w:ascii="方正黑体_GBK"/>
          <w:sz w:val="32"/>
          <w:szCs w:val="48"/>
          <w:lang w:eastAsia="zh-CN"/>
        </w:rPr>
        <w:t>一、</w:t>
      </w:r>
      <w:r>
        <w:rPr>
          <w:rFonts w:hint="eastAsia" w:ascii="方正黑体_GBK"/>
          <w:sz w:val="32"/>
          <w:szCs w:val="48"/>
        </w:rPr>
        <w:t>目的意义</w:t>
      </w:r>
    </w:p>
    <w:p>
      <w:pPr>
        <w:pStyle w:val="3"/>
        <w:pageBreakBefore w:val="0"/>
        <w:widowControl w:val="0"/>
        <w:numPr>
          <w:numId w:val="0"/>
        </w:numPr>
        <w:tabs>
          <w:tab w:val="left" w:pos="360"/>
        </w:tabs>
        <w:kinsoku/>
        <w:wordWrap/>
        <w:overflowPunct/>
        <w:topLinePunct w:val="0"/>
        <w:autoSpaceDE/>
        <w:autoSpaceDN/>
        <w:bidi w:val="0"/>
        <w:adjustRightInd/>
        <w:snapToGrid/>
        <w:spacing w:before="0" w:beforeLines="0" w:after="0" w:afterLines="0" w:line="520" w:lineRule="exact"/>
        <w:ind w:leftChars="0" w:firstLine="560" w:firstLineChars="200"/>
        <w:textAlignment w:val="auto"/>
        <w:rPr>
          <w:rFonts w:ascii="方正黑体_GBK" w:eastAsia="方正黑体_GBK"/>
          <w:b w:val="0"/>
          <w:bCs w:val="0"/>
          <w:szCs w:val="28"/>
        </w:rPr>
      </w:pPr>
      <w:r>
        <w:rPr>
          <w:rFonts w:hint="eastAsia" w:ascii="方正黑体_GBK" w:eastAsia="方正黑体_GBK"/>
          <w:b w:val="0"/>
          <w:bCs w:val="0"/>
          <w:szCs w:val="28"/>
          <w:lang w:eastAsia="zh-CN"/>
        </w:rPr>
        <w:t>（一）</w:t>
      </w:r>
      <w:r>
        <w:rPr>
          <w:rFonts w:hint="eastAsia" w:ascii="方正黑体_GBK" w:eastAsia="方正黑体_GBK"/>
          <w:b w:val="0"/>
          <w:bCs w:val="0"/>
          <w:szCs w:val="28"/>
        </w:rPr>
        <w:t>行业发展现状</w:t>
      </w:r>
    </w:p>
    <w:p>
      <w:pPr>
        <w:pageBreakBefore w:val="0"/>
        <w:widowControl w:val="0"/>
        <w:kinsoku/>
        <w:wordWrap/>
        <w:overflowPunct/>
        <w:topLinePunct w:val="0"/>
        <w:autoSpaceDE/>
        <w:autoSpaceDN/>
        <w:bidi w:val="0"/>
        <w:adjustRightInd/>
        <w:snapToGrid/>
        <w:spacing w:before="0" w:beforeLines="0" w:after="0" w:afterLines="0" w:line="520" w:lineRule="exact"/>
        <w:ind w:firstLine="560"/>
        <w:textAlignment w:val="auto"/>
      </w:pPr>
      <w:r>
        <w:rPr>
          <w:rFonts w:hint="eastAsia"/>
        </w:rPr>
        <w:t>经过多年的建设和发展，全市重型货物装载配载作业的生产企业、运输企业、贸易市场，以及港口、货运站场等货物集散地和建筑工地的经营人、管理人（以下统称货物装载源头单位）的安全生产能力和安全管理水平都有了较大的提高，但是对标安全生产管理的新形势、新要求，企业安全生产管理问题依旧突出。在监督检查过程中发现，部分企业仍存在着安全生产责任制落实不到位、安全管理制度不健全、对四轴和六轴车型超限超载认定标准掌握不够、视频监控和称重信息系统运行管理不规范等系列问题，更有甚者，为了追求经济效益，对出场车辆不予称重，甚至在明知车辆已超重的情况下仍然予以装载，致使超限超载车辆出场上路，形成了重大安全隐患。</w:t>
      </w:r>
    </w:p>
    <w:p>
      <w:pPr>
        <w:pStyle w:val="3"/>
        <w:pageBreakBefore w:val="0"/>
        <w:widowControl w:val="0"/>
        <w:numPr>
          <w:numId w:val="0"/>
        </w:numPr>
        <w:tabs>
          <w:tab w:val="left" w:pos="360"/>
        </w:tabs>
        <w:kinsoku/>
        <w:wordWrap/>
        <w:overflowPunct/>
        <w:topLinePunct w:val="0"/>
        <w:autoSpaceDE/>
        <w:autoSpaceDN/>
        <w:bidi w:val="0"/>
        <w:adjustRightInd/>
        <w:snapToGrid/>
        <w:spacing w:before="0" w:beforeLines="0" w:after="0" w:afterLines="0" w:line="520" w:lineRule="exact"/>
        <w:ind w:leftChars="0" w:firstLine="560" w:firstLineChars="200"/>
        <w:textAlignment w:val="auto"/>
        <w:rPr>
          <w:rFonts w:ascii="方正黑体_GBK" w:eastAsia="方正黑体_GBK"/>
          <w:b w:val="0"/>
          <w:bCs w:val="0"/>
          <w:szCs w:val="28"/>
        </w:rPr>
      </w:pPr>
      <w:r>
        <w:rPr>
          <w:rFonts w:hint="eastAsia" w:ascii="方正黑体_GBK" w:eastAsia="方正黑体_GBK"/>
          <w:b w:val="0"/>
          <w:bCs w:val="0"/>
          <w:szCs w:val="28"/>
          <w:lang w:eastAsia="zh-CN"/>
        </w:rPr>
        <w:t>（二）</w:t>
      </w:r>
      <w:r>
        <w:rPr>
          <w:rFonts w:ascii="方正黑体_GBK" w:eastAsia="方正黑体_GBK"/>
          <w:b w:val="0"/>
          <w:bCs w:val="0"/>
          <w:szCs w:val="28"/>
        </w:rPr>
        <w:t>必要性</w:t>
      </w:r>
    </w:p>
    <w:p>
      <w:pPr>
        <w:pageBreakBefore w:val="0"/>
        <w:widowControl w:val="0"/>
        <w:kinsoku/>
        <w:wordWrap/>
        <w:overflowPunct/>
        <w:topLinePunct w:val="0"/>
        <w:autoSpaceDE/>
        <w:autoSpaceDN/>
        <w:bidi w:val="0"/>
        <w:adjustRightInd/>
        <w:snapToGrid/>
        <w:spacing w:before="0" w:beforeLines="0" w:after="0" w:afterLines="0" w:line="520" w:lineRule="exact"/>
        <w:ind w:firstLine="560"/>
        <w:textAlignment w:val="auto"/>
      </w:pPr>
      <w:r>
        <w:rPr>
          <w:rFonts w:hint="eastAsia"/>
        </w:rPr>
        <w:t>国家“十四五”规划提出要“坚持和发展新时代‘枫桥经验’，构建源头防控、排查梳理、纠纷化解、应急处置的社会矛盾综合治理机制”。加强社会矛盾源头治理，将矛盾纠纷化解在基层和源头，无疑是社会矛盾综合治理机制中的重要内容。</w:t>
      </w:r>
    </w:p>
    <w:p>
      <w:pPr>
        <w:pageBreakBefore w:val="0"/>
        <w:widowControl w:val="0"/>
        <w:kinsoku/>
        <w:wordWrap/>
        <w:overflowPunct/>
        <w:topLinePunct w:val="0"/>
        <w:autoSpaceDE/>
        <w:autoSpaceDN/>
        <w:bidi w:val="0"/>
        <w:adjustRightInd/>
        <w:snapToGrid/>
        <w:spacing w:before="0" w:beforeLines="0" w:after="0" w:afterLines="0" w:line="520" w:lineRule="exact"/>
        <w:ind w:firstLine="560"/>
        <w:textAlignment w:val="auto"/>
      </w:pPr>
      <w:r>
        <w:rPr>
          <w:rFonts w:hint="eastAsia"/>
        </w:rPr>
        <w:t>目前，南通市普通国省干线公路</w:t>
      </w:r>
      <w:r>
        <w:t>950</w:t>
      </w:r>
      <w:r>
        <w:rPr>
          <w:rFonts w:hint="eastAsia"/>
        </w:rPr>
        <w:t>公里，农村公路</w:t>
      </w:r>
      <w:r>
        <w:t>15700</w:t>
      </w:r>
      <w:r>
        <w:rPr>
          <w:rFonts w:hint="eastAsia"/>
        </w:rPr>
        <w:t>公里，路网发达，农村公路路网密度全省领先。货物装载源头单位</w:t>
      </w:r>
      <w:r>
        <w:t>818家，重点货物装载源头单位229家，</w:t>
      </w:r>
      <w:r>
        <w:rPr>
          <w:rFonts w:hint="eastAsia"/>
        </w:rPr>
        <w:t>本籍</w:t>
      </w:r>
      <w:r>
        <w:t>普通货物运输车辆50008辆，</w:t>
      </w:r>
      <w:r>
        <w:rPr>
          <w:rFonts w:hint="eastAsia"/>
        </w:rPr>
        <w:t>本籍货物运输</w:t>
      </w:r>
      <w:r>
        <w:t>从业人员50240个，</w:t>
      </w:r>
      <w:r>
        <w:rPr>
          <w:rFonts w:hint="eastAsia"/>
        </w:rPr>
        <w:t>重点货物装载源头单位称重设施安装率9</w:t>
      </w:r>
      <w:r>
        <w:t>8.25%</w:t>
      </w:r>
      <w:r>
        <w:rPr>
          <w:rFonts w:hint="eastAsia"/>
        </w:rPr>
        <w:t>、视频监控设施安装率9</w:t>
      </w:r>
      <w:r>
        <w:t>8.25%</w:t>
      </w:r>
      <w:r>
        <w:rPr>
          <w:rFonts w:hint="eastAsia"/>
        </w:rPr>
        <w:t>。而全市仅有7个普通公路超限检测站，平均</w:t>
      </w:r>
      <w:r>
        <w:t>136</w:t>
      </w:r>
      <w:r>
        <w:rPr>
          <w:rFonts w:hint="eastAsia"/>
        </w:rPr>
        <w:t>公里一个站，每天查处的车辆与在网运行货物运输车辆相比，数量级差距巨大，仅靠路面管控，很难做到长效治理。</w:t>
      </w:r>
    </w:p>
    <w:p>
      <w:pPr>
        <w:pageBreakBefore w:val="0"/>
        <w:widowControl w:val="0"/>
        <w:kinsoku/>
        <w:wordWrap/>
        <w:overflowPunct/>
        <w:topLinePunct w:val="0"/>
        <w:autoSpaceDE/>
        <w:autoSpaceDN/>
        <w:bidi w:val="0"/>
        <w:adjustRightInd/>
        <w:snapToGrid/>
        <w:spacing w:before="0" w:beforeLines="0" w:after="0" w:afterLines="0" w:line="520" w:lineRule="exact"/>
        <w:ind w:firstLine="560"/>
        <w:textAlignment w:val="auto"/>
      </w:pPr>
      <w:r>
        <w:rPr>
          <w:rFonts w:hint="eastAsia"/>
        </w:rPr>
        <w:t>中国自古以来就有“防患于未然”的思想，因此，加强源头安全管理，进一步压实货运装载源头单位安全生产主体责任，我们拟定了《道路货物装载源头单位超限超载安全管理规范》，对货运源头单位主体责任、安全管理予以明确和细化。有效解决当前源头单位安全管理存在的突出问题，倒逼企业严格执行法律法规等有关规定，规范自身安全生产管理行为，减少安全隐患数量和安全生产事故，不断提升企业安全生产管理水平，防止超限超载车辆上路，维护道路货物运输市场秩序，预防和减少道路交通事故，保障人民群众生命财产安全和经济社会发展。</w:t>
      </w:r>
    </w:p>
    <w:p>
      <w:pPr>
        <w:pStyle w:val="3"/>
        <w:pageBreakBefore w:val="0"/>
        <w:widowControl w:val="0"/>
        <w:numPr>
          <w:numId w:val="0"/>
        </w:numPr>
        <w:tabs>
          <w:tab w:val="left" w:pos="360"/>
        </w:tabs>
        <w:kinsoku/>
        <w:wordWrap/>
        <w:overflowPunct/>
        <w:topLinePunct w:val="0"/>
        <w:autoSpaceDE/>
        <w:autoSpaceDN/>
        <w:bidi w:val="0"/>
        <w:adjustRightInd/>
        <w:snapToGrid/>
        <w:spacing w:before="0" w:beforeLines="0" w:after="0" w:afterLines="0" w:line="520" w:lineRule="exact"/>
        <w:ind w:leftChars="0" w:firstLine="560" w:firstLineChars="200"/>
        <w:textAlignment w:val="auto"/>
        <w:rPr>
          <w:rFonts w:ascii="方正黑体_GBK" w:eastAsia="方正黑体_GBK"/>
          <w:b w:val="0"/>
          <w:bCs w:val="0"/>
          <w:szCs w:val="28"/>
        </w:rPr>
      </w:pPr>
      <w:r>
        <w:rPr>
          <w:rFonts w:hint="eastAsia" w:ascii="方正黑体_GBK" w:eastAsia="方正黑体_GBK"/>
          <w:b w:val="0"/>
          <w:bCs w:val="0"/>
          <w:szCs w:val="28"/>
          <w:lang w:eastAsia="zh-CN"/>
        </w:rPr>
        <w:t>（三）</w:t>
      </w:r>
      <w:r>
        <w:rPr>
          <w:rFonts w:ascii="方正黑体_GBK" w:eastAsia="方正黑体_GBK"/>
          <w:b w:val="0"/>
          <w:bCs w:val="0"/>
          <w:szCs w:val="28"/>
        </w:rPr>
        <w:t>可行性</w:t>
      </w:r>
    </w:p>
    <w:p>
      <w:pPr>
        <w:pageBreakBefore w:val="0"/>
        <w:widowControl w:val="0"/>
        <w:kinsoku/>
        <w:wordWrap/>
        <w:overflowPunct/>
        <w:topLinePunct w:val="0"/>
        <w:autoSpaceDE/>
        <w:autoSpaceDN/>
        <w:bidi w:val="0"/>
        <w:adjustRightInd/>
        <w:snapToGrid/>
        <w:spacing w:before="0" w:beforeLines="0" w:after="0" w:afterLines="0" w:line="520" w:lineRule="exact"/>
        <w:ind w:firstLine="560"/>
        <w:textAlignment w:val="auto"/>
      </w:pPr>
      <w:r>
        <w:t>1</w:t>
      </w:r>
      <w:r>
        <w:rPr>
          <w:rFonts w:hint="eastAsia"/>
        </w:rPr>
        <w:t>、</w:t>
      </w:r>
      <w:r>
        <w:t>南通市交通运输综合行政执法支队始终坚持</w:t>
      </w:r>
      <w:r>
        <w:rPr>
          <w:rFonts w:hint="eastAsia"/>
        </w:rPr>
        <w:t>“</w:t>
      </w:r>
      <w:r>
        <w:t>在执法中体现服务，在服务中推进执法</w:t>
      </w:r>
      <w:r>
        <w:rPr>
          <w:rFonts w:hint="eastAsia"/>
        </w:rPr>
        <w:t>”</w:t>
      </w:r>
      <w:r>
        <w:t>的理念，提出制定《道路货物装载源头单位超限超载安全管理规范》，是响应企业诉求、服务企业的重要举措，充分引导企业对标找差，弥补安全管理短板。</w:t>
      </w:r>
    </w:p>
    <w:p>
      <w:pPr>
        <w:pageBreakBefore w:val="0"/>
        <w:widowControl w:val="0"/>
        <w:kinsoku/>
        <w:wordWrap/>
        <w:overflowPunct/>
        <w:topLinePunct w:val="0"/>
        <w:autoSpaceDE/>
        <w:autoSpaceDN/>
        <w:bidi w:val="0"/>
        <w:adjustRightInd/>
        <w:snapToGrid/>
        <w:spacing w:before="0" w:beforeLines="0" w:after="0" w:afterLines="0" w:line="520" w:lineRule="exact"/>
        <w:ind w:firstLine="560"/>
        <w:textAlignment w:val="auto"/>
      </w:pPr>
      <w:r>
        <w:t>2</w:t>
      </w:r>
      <w:r>
        <w:rPr>
          <w:rFonts w:hint="eastAsia"/>
        </w:rPr>
        <w:t>、</w:t>
      </w:r>
      <w:r>
        <w:t>南通市交通运输综合行政执法支队曾编制南通市地方标准《港口普通货物企业安全管理台账编制指南》（编号：DB3206/T1016-2021），并顺利通过审核，熟悉中华人民共和国国家标准《标准化工作导则第1部分：标准化文件的结构和起草规则GBT1.1-2020》的要求。</w:t>
      </w:r>
    </w:p>
    <w:p>
      <w:pPr>
        <w:pageBreakBefore w:val="0"/>
        <w:widowControl w:val="0"/>
        <w:kinsoku/>
        <w:wordWrap/>
        <w:overflowPunct/>
        <w:topLinePunct w:val="0"/>
        <w:autoSpaceDE/>
        <w:autoSpaceDN/>
        <w:bidi w:val="0"/>
        <w:adjustRightInd/>
        <w:snapToGrid/>
        <w:spacing w:before="0" w:beforeLines="0" w:after="0" w:afterLines="0" w:line="520" w:lineRule="exact"/>
        <w:ind w:firstLine="560"/>
        <w:textAlignment w:val="auto"/>
      </w:pPr>
      <w:r>
        <w:t>3</w:t>
      </w:r>
      <w:r>
        <w:rPr>
          <w:rFonts w:hint="eastAsia"/>
        </w:rPr>
        <w:t>、</w:t>
      </w:r>
      <w:r>
        <w:t>梳理了《中华人民共和国安全生产法》《中华人民共和国公路法》《中华人民共和国道路交通安全法》《公路安全保护条例》《超限运输车辆行驶公路管理规定》《道路货物运输及站场管理规定》《江苏省公路条例》等多部法律法规规章、国家标准、行业标准等，通过调研、走访相关企业，结合行政检查实践，总结、研判出了货物装载源头安全管理的核心内容，为编制《道路货物装载源头单位超限超载安全管理规范》奠定了坚实的理论基础。</w:t>
      </w:r>
    </w:p>
    <w:p>
      <w:pPr>
        <w:pageBreakBefore w:val="0"/>
        <w:widowControl w:val="0"/>
        <w:kinsoku/>
        <w:wordWrap/>
        <w:overflowPunct/>
        <w:topLinePunct w:val="0"/>
        <w:autoSpaceDE/>
        <w:autoSpaceDN/>
        <w:bidi w:val="0"/>
        <w:adjustRightInd/>
        <w:snapToGrid/>
        <w:spacing w:before="0" w:beforeLines="0" w:after="0" w:afterLines="0" w:line="520" w:lineRule="exact"/>
        <w:ind w:firstLine="560"/>
        <w:textAlignment w:val="auto"/>
      </w:pPr>
      <w:r>
        <w:t>4</w:t>
      </w:r>
      <w:r>
        <w:rPr>
          <w:rFonts w:hint="eastAsia"/>
        </w:rPr>
        <w:t>、</w:t>
      </w:r>
      <w:r>
        <w:t>《道路货物装载源头单位超限超载安全管理规范》免费提供给企业，为企业安全管理提供可操作的标准“模板”，企业只需通过对标找差借鉴实施即可，既解决了企业安全管理效果差的问题，同时还促使企业规范自身安全管理行为。特别是本标准将内容通过清单式列出，操作起来简单，落实起来方便</w:t>
      </w:r>
      <w:r>
        <w:rPr>
          <w:rFonts w:hint="eastAsia"/>
        </w:rPr>
        <w:t>，尤其对缺乏专业安全管理人才的企业，提供了解决的办法</w:t>
      </w:r>
    </w:p>
    <w:p>
      <w:pPr>
        <w:pageBreakBefore w:val="0"/>
        <w:widowControl w:val="0"/>
        <w:kinsoku/>
        <w:wordWrap/>
        <w:overflowPunct/>
        <w:topLinePunct w:val="0"/>
        <w:autoSpaceDE/>
        <w:autoSpaceDN/>
        <w:bidi w:val="0"/>
        <w:adjustRightInd/>
        <w:snapToGrid/>
        <w:spacing w:before="0" w:beforeLines="0" w:after="0" w:afterLines="0" w:line="520" w:lineRule="exact"/>
        <w:ind w:firstLine="560"/>
        <w:textAlignment w:val="auto"/>
      </w:pPr>
      <w:r>
        <w:t>5</w:t>
      </w:r>
      <w:r>
        <w:rPr>
          <w:rFonts w:hint="eastAsia"/>
        </w:rPr>
        <w:t>、</w:t>
      </w:r>
      <w:r>
        <w:t>江苏省级治超联网管理信息系统、货物装载源头监管平台等业务系统的普及应用，以及《南通治超标准化执法管理规范手册》的规范指导，为本</w:t>
      </w:r>
      <w:r>
        <w:rPr>
          <w:rFonts w:hint="eastAsia"/>
        </w:rPr>
        <w:t>规范</w:t>
      </w:r>
      <w:r>
        <w:t>的实际操作提供了可行性基础。</w:t>
      </w:r>
    </w:p>
    <w:p>
      <w:pPr>
        <w:pStyle w:val="3"/>
        <w:pageBreakBefore w:val="0"/>
        <w:widowControl w:val="0"/>
        <w:numPr>
          <w:numId w:val="0"/>
        </w:numPr>
        <w:tabs>
          <w:tab w:val="left" w:pos="360"/>
        </w:tabs>
        <w:kinsoku/>
        <w:wordWrap/>
        <w:overflowPunct/>
        <w:topLinePunct w:val="0"/>
        <w:autoSpaceDE/>
        <w:autoSpaceDN/>
        <w:bidi w:val="0"/>
        <w:adjustRightInd/>
        <w:snapToGrid/>
        <w:spacing w:before="0" w:beforeLines="0" w:after="0" w:afterLines="0" w:line="520" w:lineRule="exact"/>
        <w:ind w:leftChars="0" w:firstLine="560" w:firstLineChars="200"/>
        <w:textAlignment w:val="auto"/>
        <w:rPr>
          <w:rFonts w:ascii="方正黑体_GBK" w:eastAsia="方正黑体_GBK"/>
          <w:b w:val="0"/>
          <w:bCs w:val="0"/>
          <w:szCs w:val="28"/>
        </w:rPr>
      </w:pPr>
      <w:r>
        <w:rPr>
          <w:rFonts w:hint="eastAsia" w:ascii="方正黑体_GBK" w:eastAsia="方正黑体_GBK"/>
          <w:b w:val="0"/>
          <w:bCs w:val="0"/>
          <w:szCs w:val="28"/>
          <w:lang w:eastAsia="zh-CN"/>
        </w:rPr>
        <w:t>（四）</w:t>
      </w:r>
      <w:r>
        <w:rPr>
          <w:rFonts w:ascii="方正黑体_GBK" w:eastAsia="方正黑体_GBK"/>
          <w:b w:val="0"/>
          <w:bCs w:val="0"/>
          <w:szCs w:val="28"/>
        </w:rPr>
        <w:t>预期经济社会效益</w:t>
      </w:r>
    </w:p>
    <w:p>
      <w:pPr>
        <w:pageBreakBefore w:val="0"/>
        <w:widowControl w:val="0"/>
        <w:kinsoku/>
        <w:wordWrap/>
        <w:overflowPunct/>
        <w:topLinePunct w:val="0"/>
        <w:autoSpaceDE/>
        <w:autoSpaceDN/>
        <w:bidi w:val="0"/>
        <w:adjustRightInd/>
        <w:snapToGrid/>
        <w:spacing w:before="0" w:beforeLines="0" w:after="0" w:afterLines="0" w:line="520" w:lineRule="exact"/>
        <w:ind w:firstLine="560"/>
        <w:textAlignment w:val="auto"/>
      </w:pPr>
      <w:r>
        <w:rPr>
          <w:rFonts w:hint="eastAsia"/>
        </w:rPr>
        <w:t>（1）</w:t>
      </w:r>
      <w:r>
        <w:t>经济效益</w:t>
      </w:r>
    </w:p>
    <w:p>
      <w:pPr>
        <w:pageBreakBefore w:val="0"/>
        <w:widowControl w:val="0"/>
        <w:kinsoku/>
        <w:wordWrap/>
        <w:overflowPunct/>
        <w:topLinePunct w:val="0"/>
        <w:autoSpaceDE/>
        <w:autoSpaceDN/>
        <w:bidi w:val="0"/>
        <w:adjustRightInd/>
        <w:snapToGrid/>
        <w:spacing w:before="0" w:beforeLines="0" w:after="0" w:afterLines="0" w:line="520" w:lineRule="exact"/>
        <w:ind w:firstLine="560"/>
        <w:textAlignment w:val="auto"/>
      </w:pPr>
      <w:r>
        <w:rPr>
          <w:rFonts w:hint="eastAsia"/>
        </w:rPr>
        <w:t>本标准普及了全市货物装载源头单位超限超载安全管理要求，细化了大型设备制造企业、运输企业、货物装载企业三种类型的企业超限超载安全管理规范和要求，企业可以</w:t>
      </w:r>
      <w:r>
        <w:t>通过对标找差</w:t>
      </w:r>
      <w:r>
        <w:rPr>
          <w:rFonts w:hint="eastAsia"/>
        </w:rPr>
        <w:t>开展生产经营活动，进一步减少安全风险，降低经济损失；对各级管理部门来说，规范货物装载源头超限超载安全管理规范，可有效减少超限超载违法行为的发生，减轻一线执法人员治超执法的工作量，降低人力成本和管理成本；预防和减少道路运输市场的恶性竞争，维护市场公平正义。</w:t>
      </w:r>
    </w:p>
    <w:p>
      <w:pPr>
        <w:pageBreakBefore w:val="0"/>
        <w:widowControl w:val="0"/>
        <w:kinsoku/>
        <w:wordWrap/>
        <w:overflowPunct/>
        <w:topLinePunct w:val="0"/>
        <w:autoSpaceDE/>
        <w:autoSpaceDN/>
        <w:bidi w:val="0"/>
        <w:adjustRightInd/>
        <w:snapToGrid/>
        <w:spacing w:before="0" w:beforeLines="0" w:after="0" w:afterLines="0" w:line="520" w:lineRule="exact"/>
        <w:ind w:firstLine="560"/>
        <w:textAlignment w:val="auto"/>
      </w:pPr>
      <w:r>
        <w:rPr>
          <w:rFonts w:hint="eastAsia"/>
        </w:rPr>
        <w:t>（</w:t>
      </w:r>
      <w:r>
        <w:t>2</w:t>
      </w:r>
      <w:r>
        <w:rPr>
          <w:rFonts w:hint="eastAsia"/>
        </w:rPr>
        <w:t>）</w:t>
      </w:r>
      <w:r>
        <w:t>社会效益</w:t>
      </w:r>
    </w:p>
    <w:p>
      <w:pPr>
        <w:pageBreakBefore w:val="0"/>
        <w:widowControl w:val="0"/>
        <w:kinsoku/>
        <w:wordWrap/>
        <w:overflowPunct/>
        <w:topLinePunct w:val="0"/>
        <w:autoSpaceDE/>
        <w:autoSpaceDN/>
        <w:bidi w:val="0"/>
        <w:adjustRightInd/>
        <w:snapToGrid/>
        <w:spacing w:before="0" w:beforeLines="0" w:after="0" w:afterLines="0" w:line="520" w:lineRule="exact"/>
        <w:ind w:firstLine="560"/>
        <w:textAlignment w:val="auto"/>
      </w:pPr>
      <w:r>
        <w:rPr>
          <w:rFonts w:hint="eastAsia"/>
        </w:rPr>
        <w:t>本标准普及和应用后，源头企业可以按照本标准的规定开展超限超载安全管理工作，提升企业安全管理水平；企业超限超载安全管理水平的提升，可有效减少道路交通安全隐患事故的发生；营造</w:t>
      </w:r>
      <w:r>
        <w:t>安全、畅通的</w:t>
      </w:r>
      <w:r>
        <w:rPr>
          <w:rFonts w:hint="eastAsia"/>
        </w:rPr>
        <w:t>道路</w:t>
      </w:r>
      <w:r>
        <w:t>运输环境</w:t>
      </w:r>
      <w:r>
        <w:rPr>
          <w:rFonts w:hint="eastAsia"/>
        </w:rPr>
        <w:t>，</w:t>
      </w:r>
      <w:r>
        <w:t>维护</w:t>
      </w:r>
      <w:r>
        <w:rPr>
          <w:rFonts w:hint="eastAsia"/>
        </w:rPr>
        <w:t>社会</w:t>
      </w:r>
      <w:r>
        <w:t>秩序</w:t>
      </w:r>
      <w:r>
        <w:rPr>
          <w:rFonts w:hint="eastAsia"/>
        </w:rPr>
        <w:t>稳定和社会</w:t>
      </w:r>
      <w:r>
        <w:t>经济正常运行</w:t>
      </w:r>
      <w:r>
        <w:rPr>
          <w:rFonts w:hint="eastAsia"/>
        </w:rPr>
        <w:t>；此外，</w:t>
      </w:r>
      <w:r>
        <w:t>减少</w:t>
      </w:r>
      <w:r>
        <w:rPr>
          <w:rFonts w:hint="eastAsia"/>
        </w:rPr>
        <w:t>超限超载违法行为的发生</w:t>
      </w:r>
      <w:r>
        <w:t>，</w:t>
      </w:r>
      <w:r>
        <w:rPr>
          <w:rFonts w:hint="eastAsia"/>
        </w:rPr>
        <w:t>保护公路和公路桥梁的完好安全，</w:t>
      </w:r>
      <w:r>
        <w:t>有</w:t>
      </w:r>
      <w:r>
        <w:rPr>
          <w:rFonts w:hint="eastAsia"/>
        </w:rPr>
        <w:t>利于</w:t>
      </w:r>
      <w:r>
        <w:t>保障人民群众生命财产安全，增强百姓的安全感</w:t>
      </w:r>
      <w:r>
        <w:rPr>
          <w:rFonts w:hint="eastAsia"/>
        </w:rPr>
        <w:t>。</w:t>
      </w:r>
    </w:p>
    <w:p>
      <w:pPr>
        <w:pStyle w:val="2"/>
        <w:pageBreakBefore w:val="0"/>
        <w:widowControl w:val="0"/>
        <w:numPr>
          <w:numId w:val="0"/>
        </w:numPr>
        <w:kinsoku/>
        <w:wordWrap/>
        <w:overflowPunct/>
        <w:topLinePunct w:val="0"/>
        <w:autoSpaceDE/>
        <w:autoSpaceDN/>
        <w:bidi w:val="0"/>
        <w:adjustRightInd/>
        <w:snapToGrid/>
        <w:spacing w:before="0" w:beforeLines="0" w:after="0" w:afterLines="0" w:line="520" w:lineRule="exact"/>
        <w:ind w:leftChars="0" w:firstLine="643" w:firstLineChars="200"/>
        <w:textAlignment w:val="auto"/>
        <w:rPr>
          <w:rFonts w:ascii="方正黑体_GBK"/>
          <w:sz w:val="32"/>
          <w:szCs w:val="48"/>
        </w:rPr>
      </w:pPr>
      <w:r>
        <w:rPr>
          <w:rFonts w:hint="eastAsia" w:ascii="方正黑体_GBK"/>
          <w:sz w:val="32"/>
          <w:szCs w:val="48"/>
          <w:lang w:eastAsia="zh-CN"/>
        </w:rPr>
        <w:t>二、</w:t>
      </w:r>
      <w:r>
        <w:rPr>
          <w:rFonts w:hint="eastAsia" w:ascii="方正黑体_GBK"/>
          <w:sz w:val="32"/>
          <w:szCs w:val="48"/>
        </w:rPr>
        <w:t>任务来源</w:t>
      </w:r>
    </w:p>
    <w:p>
      <w:pPr>
        <w:pageBreakBefore w:val="0"/>
        <w:widowControl w:val="0"/>
        <w:kinsoku/>
        <w:wordWrap/>
        <w:overflowPunct/>
        <w:topLinePunct w:val="0"/>
        <w:autoSpaceDE/>
        <w:autoSpaceDN/>
        <w:bidi w:val="0"/>
        <w:adjustRightInd/>
        <w:snapToGrid/>
        <w:spacing w:before="0" w:beforeLines="0" w:after="0" w:afterLines="0" w:line="520" w:lineRule="exact"/>
        <w:ind w:firstLine="560"/>
        <w:textAlignment w:val="auto"/>
      </w:pPr>
      <w:r>
        <w:rPr>
          <w:rFonts w:hint="eastAsia"/>
        </w:rPr>
        <w:t>经江苏爱德信工程项目管理有限公司招投标，受南通市交通运输综合行政执法支队委托，在南通市交通运输局、南通市市场监督管理局领导的关心指导下，自</w:t>
      </w:r>
      <w:r>
        <w:t>2021年10月以来，</w:t>
      </w:r>
      <w:r>
        <w:rPr>
          <w:rFonts w:hint="eastAsia"/>
        </w:rPr>
        <w:t>江苏长天智远交通科技有限公司</w:t>
      </w:r>
      <w:r>
        <w:t>启动了《道路货物装载源头单位超限超载安全管理规范》编制工作。</w:t>
      </w:r>
    </w:p>
    <w:p>
      <w:pPr>
        <w:pageBreakBefore w:val="0"/>
        <w:widowControl w:val="0"/>
        <w:kinsoku/>
        <w:wordWrap/>
        <w:overflowPunct/>
        <w:topLinePunct w:val="0"/>
        <w:autoSpaceDE/>
        <w:autoSpaceDN/>
        <w:bidi w:val="0"/>
        <w:adjustRightInd/>
        <w:snapToGrid/>
        <w:spacing w:before="0" w:beforeLines="0" w:after="0" w:afterLines="0" w:line="520" w:lineRule="exact"/>
        <w:ind w:firstLine="560"/>
        <w:textAlignment w:val="auto"/>
      </w:pPr>
      <w:r>
        <w:t>2022年7月</w:t>
      </w:r>
      <w:r>
        <w:rPr>
          <w:rFonts w:hint="eastAsia"/>
        </w:rPr>
        <w:t>，</w:t>
      </w:r>
      <w:r>
        <w:t>南通市市场监督管理局组织召开了南通市地方标准立项评估论证会</w:t>
      </w:r>
      <w:r>
        <w:rPr>
          <w:rFonts w:hint="eastAsia"/>
        </w:rPr>
        <w:t>；2</w:t>
      </w:r>
      <w:r>
        <w:t>022</w:t>
      </w:r>
      <w:r>
        <w:rPr>
          <w:rFonts w:hint="eastAsia"/>
        </w:rPr>
        <w:t>年8月1</w:t>
      </w:r>
      <w:r>
        <w:t>5</w:t>
      </w:r>
      <w:r>
        <w:rPr>
          <w:rFonts w:hint="eastAsia"/>
        </w:rPr>
        <w:t>日南通市市场监督管理局通知下发了《南通市市场监督管理局 关于下达</w:t>
      </w:r>
      <w:r>
        <w:t>2022年度</w:t>
      </w:r>
      <w:r>
        <w:rPr>
          <w:rFonts w:hint="eastAsia"/>
        </w:rPr>
        <w:t>南通市地方标准项目计划的通知》（通市</w:t>
      </w:r>
      <w:r>
        <w:t>监函</w:t>
      </w:r>
      <w:r>
        <w:rPr>
          <w:rFonts w:hint="eastAsia"/>
        </w:rPr>
        <w:t>﹝</w:t>
      </w:r>
      <w:r>
        <w:t>2022</w:t>
      </w:r>
      <w:r>
        <w:rPr>
          <w:rFonts w:hint="eastAsia"/>
        </w:rPr>
        <w:t>﹞</w:t>
      </w:r>
      <w:r>
        <w:t>121号</w:t>
      </w:r>
      <w:r>
        <w:rPr>
          <w:rFonts w:hint="eastAsia"/>
        </w:rPr>
        <w:t>）文件，确定批准</w:t>
      </w:r>
      <w:r>
        <w:t>了本</w:t>
      </w:r>
      <w:r>
        <w:rPr>
          <w:rFonts w:hint="eastAsia"/>
        </w:rPr>
        <w:t>标准</w:t>
      </w:r>
      <w:r>
        <w:t>的立项</w:t>
      </w:r>
      <w:r>
        <w:rPr>
          <w:rFonts w:hint="eastAsia"/>
        </w:rPr>
        <w:t>，立项号为</w:t>
      </w:r>
      <w:r>
        <w:t>NT2022-38</w:t>
      </w:r>
      <w:r>
        <w:rPr>
          <w:rFonts w:hint="eastAsia"/>
        </w:rPr>
        <w:t>。</w:t>
      </w:r>
    </w:p>
    <w:p>
      <w:pPr>
        <w:pStyle w:val="2"/>
        <w:pageBreakBefore w:val="0"/>
        <w:widowControl w:val="0"/>
        <w:numPr>
          <w:numId w:val="0"/>
        </w:numPr>
        <w:kinsoku/>
        <w:wordWrap/>
        <w:overflowPunct/>
        <w:topLinePunct w:val="0"/>
        <w:autoSpaceDE/>
        <w:autoSpaceDN/>
        <w:bidi w:val="0"/>
        <w:adjustRightInd/>
        <w:snapToGrid/>
        <w:spacing w:before="0" w:beforeLines="0" w:after="0" w:afterLines="0" w:line="520" w:lineRule="exact"/>
        <w:ind w:leftChars="0" w:firstLine="643" w:firstLineChars="200"/>
        <w:textAlignment w:val="auto"/>
        <w:rPr>
          <w:rFonts w:ascii="方正黑体_GBK"/>
          <w:sz w:val="32"/>
          <w:szCs w:val="48"/>
        </w:rPr>
      </w:pPr>
      <w:r>
        <w:rPr>
          <w:rFonts w:hint="eastAsia" w:ascii="方正黑体_GBK"/>
          <w:sz w:val="32"/>
          <w:szCs w:val="48"/>
          <w:lang w:eastAsia="zh-CN"/>
        </w:rPr>
        <w:t>三、</w:t>
      </w:r>
      <w:r>
        <w:rPr>
          <w:rFonts w:hint="eastAsia" w:ascii="方正黑体_GBK"/>
          <w:sz w:val="32"/>
          <w:szCs w:val="48"/>
        </w:rPr>
        <w:t>编制过程</w:t>
      </w:r>
    </w:p>
    <w:p>
      <w:pPr>
        <w:pStyle w:val="3"/>
        <w:pageBreakBefore w:val="0"/>
        <w:widowControl w:val="0"/>
        <w:numPr>
          <w:numId w:val="0"/>
        </w:numPr>
        <w:kinsoku/>
        <w:wordWrap/>
        <w:overflowPunct/>
        <w:topLinePunct w:val="0"/>
        <w:autoSpaceDE/>
        <w:autoSpaceDN/>
        <w:bidi w:val="0"/>
        <w:adjustRightInd/>
        <w:snapToGrid/>
        <w:spacing w:before="0" w:beforeLines="0" w:after="0" w:afterLines="0" w:line="520" w:lineRule="exact"/>
        <w:ind w:leftChars="0" w:firstLine="560" w:firstLineChars="200"/>
        <w:textAlignment w:val="auto"/>
        <w:rPr>
          <w:rFonts w:ascii="方正黑体_GBK" w:eastAsia="方正黑体_GBK"/>
          <w:b w:val="0"/>
          <w:bCs w:val="0"/>
          <w:szCs w:val="28"/>
        </w:rPr>
      </w:pPr>
      <w:r>
        <w:rPr>
          <w:rFonts w:hint="eastAsia" w:ascii="方正黑体_GBK" w:eastAsia="方正黑体_GBK"/>
          <w:b w:val="0"/>
          <w:bCs w:val="0"/>
          <w:szCs w:val="28"/>
          <w:lang w:eastAsia="zh-CN"/>
        </w:rPr>
        <w:t>（一）</w:t>
      </w:r>
      <w:r>
        <w:rPr>
          <w:rFonts w:hint="eastAsia" w:ascii="方正黑体_GBK" w:eastAsia="方正黑体_GBK"/>
          <w:b w:val="0"/>
          <w:bCs w:val="0"/>
          <w:szCs w:val="28"/>
        </w:rPr>
        <w:t>初稿编制阶段</w:t>
      </w:r>
    </w:p>
    <w:p>
      <w:pPr>
        <w:pageBreakBefore w:val="0"/>
        <w:widowControl w:val="0"/>
        <w:kinsoku/>
        <w:wordWrap/>
        <w:overflowPunct/>
        <w:topLinePunct w:val="0"/>
        <w:autoSpaceDE/>
        <w:autoSpaceDN/>
        <w:bidi w:val="0"/>
        <w:adjustRightInd/>
        <w:snapToGrid/>
        <w:spacing w:before="0" w:beforeLines="0" w:after="0" w:afterLines="0" w:line="520" w:lineRule="exact"/>
        <w:ind w:firstLine="560"/>
        <w:textAlignment w:val="auto"/>
      </w:pPr>
      <w:r>
        <w:t>2021年10月，</w:t>
      </w:r>
      <w:r>
        <w:rPr>
          <w:rFonts w:hint="eastAsia"/>
        </w:rPr>
        <w:t>成立起草组，由</w:t>
      </w:r>
      <w:r>
        <w:t>来自南通市交通</w:t>
      </w:r>
      <w:r>
        <w:rPr>
          <w:rFonts w:hint="eastAsia"/>
        </w:rPr>
        <w:t>运输</w:t>
      </w:r>
      <w:r>
        <w:t>综合行政执法</w:t>
      </w:r>
      <w:r>
        <w:rPr>
          <w:rFonts w:hint="eastAsia"/>
        </w:rPr>
        <w:t>机构的领导、一线执法人员、</w:t>
      </w:r>
      <w:r>
        <w:t>江苏长天智远交通科技有限公司</w:t>
      </w:r>
      <w:r>
        <w:rPr>
          <w:rFonts w:hint="eastAsia"/>
        </w:rPr>
        <w:t>工作人员等组成。</w:t>
      </w:r>
    </w:p>
    <w:p>
      <w:pPr>
        <w:pageBreakBefore w:val="0"/>
        <w:widowControl w:val="0"/>
        <w:kinsoku/>
        <w:wordWrap/>
        <w:overflowPunct/>
        <w:topLinePunct w:val="0"/>
        <w:autoSpaceDE/>
        <w:autoSpaceDN/>
        <w:bidi w:val="0"/>
        <w:adjustRightInd/>
        <w:snapToGrid/>
        <w:spacing w:before="0" w:beforeLines="0" w:after="0" w:afterLines="0" w:line="520" w:lineRule="exact"/>
        <w:ind w:firstLine="560"/>
        <w:textAlignment w:val="auto"/>
      </w:pPr>
      <w:r>
        <w:rPr>
          <w:rFonts w:hint="eastAsia"/>
        </w:rPr>
        <w:t>起草组</w:t>
      </w:r>
      <w:r>
        <w:t>通过多种途径，收集整理了国内外相关资料及标准情况，并着重针对近年来交通运输部、江苏省交通运输厅发布的有关超限超载运输管理规定、办法和条例及具体管理要求进行详细分析</w:t>
      </w:r>
      <w:r>
        <w:rPr>
          <w:rFonts w:hint="eastAsia"/>
        </w:rPr>
        <w:t>，</w:t>
      </w:r>
      <w:r>
        <w:t>对比《南通治超标准化执法管理规范手册》的管理规范和要求，总结其在服务对象、安全操作要求等方面的异同点</w:t>
      </w:r>
      <w:r>
        <w:rPr>
          <w:rFonts w:hint="eastAsia"/>
        </w:rPr>
        <w:t>；并</w:t>
      </w:r>
      <w:r>
        <w:t>通过资料收集、</w:t>
      </w:r>
      <w:r>
        <w:rPr>
          <w:rFonts w:hint="eastAsia"/>
        </w:rPr>
        <w:t>电话</w:t>
      </w:r>
      <w:r>
        <w:t>调研等方式，结合行政检查实践，总结、研判出了货物装载源头</w:t>
      </w:r>
      <w:r>
        <w:rPr>
          <w:rFonts w:hint="eastAsia"/>
        </w:rPr>
        <w:t>单位超限超载</w:t>
      </w:r>
      <w:r>
        <w:t>安全管理的核心内容，</w:t>
      </w:r>
      <w:r>
        <w:rPr>
          <w:rFonts w:hint="eastAsia"/>
        </w:rPr>
        <w:t>于</w:t>
      </w:r>
      <w:r>
        <w:t>2022年6月完成《道路货物装载源头单位超限超载安全管理规范》草案，</w:t>
      </w:r>
      <w:r>
        <w:rPr>
          <w:rFonts w:hint="eastAsia"/>
        </w:rPr>
        <w:t>结合南通市市场监督管理局组织召开的</w:t>
      </w:r>
      <w:r>
        <w:t>立项评估审查会</w:t>
      </w:r>
      <w:r>
        <w:rPr>
          <w:rFonts w:hint="eastAsia"/>
        </w:rPr>
        <w:t>上专家组的意见，于2</w:t>
      </w:r>
      <w:r>
        <w:t>022</w:t>
      </w:r>
      <w:r>
        <w:rPr>
          <w:rFonts w:hint="eastAsia"/>
        </w:rPr>
        <w:t>年1</w:t>
      </w:r>
      <w:r>
        <w:t>1</w:t>
      </w:r>
      <w:r>
        <w:rPr>
          <w:rFonts w:hint="eastAsia"/>
        </w:rPr>
        <w:t>月修改</w:t>
      </w:r>
      <w:r>
        <w:t>完成</w:t>
      </w:r>
      <w:r>
        <w:rPr>
          <w:rFonts w:hint="eastAsia"/>
        </w:rPr>
        <w:t>了本标准的征求意见稿</w:t>
      </w:r>
      <w:r>
        <w:t>。</w:t>
      </w:r>
    </w:p>
    <w:p>
      <w:pPr>
        <w:pageBreakBefore w:val="0"/>
        <w:widowControl w:val="0"/>
        <w:kinsoku/>
        <w:wordWrap/>
        <w:overflowPunct/>
        <w:topLinePunct w:val="0"/>
        <w:autoSpaceDE/>
        <w:autoSpaceDN/>
        <w:bidi w:val="0"/>
        <w:adjustRightInd/>
        <w:snapToGrid/>
        <w:spacing w:before="0" w:beforeLines="0" w:after="0" w:afterLines="0" w:line="520" w:lineRule="exact"/>
        <w:ind w:firstLine="560"/>
        <w:textAlignment w:val="auto"/>
      </w:pPr>
      <w:r>
        <w:rPr>
          <w:rFonts w:hint="eastAsia"/>
        </w:rPr>
        <w:t>本标准征求意见稿的主要内容</w:t>
      </w:r>
      <w:r>
        <w:t>包括</w:t>
      </w:r>
      <w:r>
        <w:rPr>
          <w:rFonts w:hint="eastAsia"/>
        </w:rPr>
        <w:t>道路货物装载源头单位超限超载安全管理的术语和定义、一般规定、特殊规定、资料以及相关附录等。</w:t>
      </w:r>
    </w:p>
    <w:p>
      <w:pPr>
        <w:pStyle w:val="3"/>
        <w:pageBreakBefore w:val="0"/>
        <w:widowControl w:val="0"/>
        <w:numPr>
          <w:numId w:val="0"/>
        </w:numPr>
        <w:tabs>
          <w:tab w:val="left" w:pos="360"/>
        </w:tabs>
        <w:kinsoku/>
        <w:wordWrap/>
        <w:overflowPunct/>
        <w:topLinePunct w:val="0"/>
        <w:autoSpaceDE/>
        <w:autoSpaceDN/>
        <w:bidi w:val="0"/>
        <w:adjustRightInd/>
        <w:snapToGrid/>
        <w:spacing w:before="0" w:beforeLines="0" w:after="0" w:afterLines="0" w:line="520" w:lineRule="exact"/>
        <w:ind w:leftChars="0" w:firstLine="560" w:firstLineChars="200"/>
        <w:textAlignment w:val="auto"/>
        <w:rPr>
          <w:rFonts w:ascii="方正黑体_GBK" w:eastAsia="方正黑体_GBK"/>
          <w:b w:val="0"/>
          <w:bCs w:val="0"/>
          <w:szCs w:val="28"/>
        </w:rPr>
      </w:pPr>
      <w:r>
        <w:rPr>
          <w:rFonts w:hint="eastAsia" w:ascii="方正黑体_GBK" w:eastAsia="方正黑体_GBK"/>
          <w:b w:val="0"/>
          <w:bCs w:val="0"/>
          <w:szCs w:val="28"/>
          <w:lang w:eastAsia="zh-CN"/>
        </w:rPr>
        <w:t>（二）</w:t>
      </w:r>
      <w:r>
        <w:rPr>
          <w:rFonts w:hint="eastAsia" w:ascii="方正黑体_GBK" w:eastAsia="方正黑体_GBK"/>
          <w:b w:val="0"/>
          <w:bCs w:val="0"/>
          <w:szCs w:val="28"/>
        </w:rPr>
        <w:t>意见征求阶段</w:t>
      </w:r>
    </w:p>
    <w:p>
      <w:pPr>
        <w:pageBreakBefore w:val="0"/>
        <w:widowControl w:val="0"/>
        <w:kinsoku/>
        <w:wordWrap/>
        <w:overflowPunct/>
        <w:topLinePunct w:val="0"/>
        <w:autoSpaceDE/>
        <w:autoSpaceDN/>
        <w:bidi w:val="0"/>
        <w:adjustRightInd/>
        <w:snapToGrid/>
        <w:spacing w:before="0" w:beforeLines="0" w:after="0" w:afterLines="0" w:line="520" w:lineRule="exact"/>
        <w:ind w:firstLine="560"/>
        <w:textAlignment w:val="auto"/>
      </w:pPr>
      <w:r>
        <w:t>2022</w:t>
      </w:r>
      <w:r>
        <w:rPr>
          <w:rFonts w:hint="eastAsia"/>
        </w:rPr>
        <w:t>年1</w:t>
      </w:r>
      <w:r>
        <w:t>1</w:t>
      </w:r>
      <w:r>
        <w:rPr>
          <w:rFonts w:hint="eastAsia"/>
        </w:rPr>
        <w:t>月2</w:t>
      </w:r>
      <w:r>
        <w:t>4</w:t>
      </w:r>
      <w:r>
        <w:rPr>
          <w:rFonts w:hint="eastAsia"/>
        </w:rPr>
        <w:t>日，南通市治理车辆超限超载工作领导小组办公室下发了</w:t>
      </w:r>
      <w:r>
        <w:t>市治超办关于征求《道路货物装载源头单位超限超载安全管理规范》意见的函</w:t>
      </w:r>
      <w:r>
        <w:rPr>
          <w:rFonts w:hint="eastAsia"/>
        </w:rPr>
        <w:t>（通治超办函〔</w:t>
      </w:r>
      <w:r>
        <w:t>2022〕9号</w:t>
      </w:r>
      <w:r>
        <w:rPr>
          <w:rFonts w:hint="eastAsia"/>
        </w:rPr>
        <w:t>），向相关行政主管部门、全市各县（市）、</w:t>
      </w:r>
      <w:r>
        <w:t>区人民政府</w:t>
      </w:r>
      <w:r>
        <w:rPr>
          <w:rFonts w:hint="eastAsia"/>
        </w:rPr>
        <w:t>（</w:t>
      </w:r>
      <w:r>
        <w:t>管委会</w:t>
      </w:r>
      <w:r>
        <w:rPr>
          <w:rFonts w:hint="eastAsia"/>
        </w:rPr>
        <w:t>）</w:t>
      </w:r>
      <w:r>
        <w:t>治超办</w:t>
      </w:r>
      <w:r>
        <w:rPr>
          <w:rFonts w:hint="eastAsia"/>
        </w:rPr>
        <w:t>以及相关企业进行了意见征求。同时，</w:t>
      </w:r>
      <w:r>
        <w:t>通过</w:t>
      </w:r>
      <w:r>
        <w:rPr>
          <w:rFonts w:hint="eastAsia"/>
        </w:rPr>
        <w:t>座谈会、电话、邮件等</w:t>
      </w:r>
      <w:r>
        <w:t>多种渠道</w:t>
      </w:r>
      <w:r>
        <w:rPr>
          <w:rFonts w:hint="eastAsia"/>
        </w:rPr>
        <w:t>向</w:t>
      </w:r>
      <w:r>
        <w:t>科研院所、高校、企业、服务对象等相关方</w:t>
      </w:r>
      <w:r>
        <w:rPr>
          <w:rFonts w:hint="eastAsia"/>
        </w:rPr>
        <w:t>进行了</w:t>
      </w:r>
      <w:r>
        <w:t>意见</w:t>
      </w:r>
      <w:r>
        <w:rPr>
          <w:rFonts w:hint="eastAsia"/>
        </w:rPr>
        <w:t>的广泛征求。</w:t>
      </w:r>
    </w:p>
    <w:p>
      <w:pPr>
        <w:pStyle w:val="3"/>
        <w:pageBreakBefore w:val="0"/>
        <w:widowControl w:val="0"/>
        <w:numPr>
          <w:numId w:val="0"/>
        </w:numPr>
        <w:tabs>
          <w:tab w:val="left" w:pos="360"/>
        </w:tabs>
        <w:kinsoku/>
        <w:wordWrap/>
        <w:overflowPunct/>
        <w:topLinePunct w:val="0"/>
        <w:autoSpaceDE/>
        <w:autoSpaceDN/>
        <w:bidi w:val="0"/>
        <w:adjustRightInd/>
        <w:snapToGrid/>
        <w:spacing w:before="0" w:beforeLines="0" w:after="0" w:afterLines="0" w:line="520" w:lineRule="exact"/>
        <w:ind w:leftChars="0" w:firstLine="560" w:firstLineChars="200"/>
        <w:textAlignment w:val="auto"/>
        <w:rPr>
          <w:rFonts w:ascii="方正黑体_GBK" w:eastAsia="方正黑体_GBK"/>
          <w:b w:val="0"/>
          <w:bCs w:val="0"/>
          <w:szCs w:val="28"/>
        </w:rPr>
      </w:pPr>
      <w:r>
        <w:rPr>
          <w:rFonts w:hint="eastAsia" w:ascii="方正黑体_GBK" w:eastAsia="方正黑体_GBK"/>
          <w:b w:val="0"/>
          <w:bCs w:val="0"/>
          <w:szCs w:val="28"/>
          <w:lang w:eastAsia="zh-CN"/>
        </w:rPr>
        <w:t>（三）</w:t>
      </w:r>
      <w:r>
        <w:rPr>
          <w:rFonts w:hint="eastAsia" w:ascii="方正黑体_GBK" w:eastAsia="方正黑体_GBK"/>
          <w:b w:val="0"/>
          <w:bCs w:val="0"/>
          <w:szCs w:val="28"/>
        </w:rPr>
        <w:t>标准审查阶段</w:t>
      </w:r>
    </w:p>
    <w:p>
      <w:pPr>
        <w:pageBreakBefore w:val="0"/>
        <w:widowControl w:val="0"/>
        <w:kinsoku/>
        <w:wordWrap/>
        <w:overflowPunct/>
        <w:topLinePunct w:val="0"/>
        <w:autoSpaceDE/>
        <w:autoSpaceDN/>
        <w:bidi w:val="0"/>
        <w:adjustRightInd/>
        <w:snapToGrid/>
        <w:spacing w:before="0" w:beforeLines="0" w:after="0" w:afterLines="0" w:line="520" w:lineRule="exact"/>
        <w:ind w:firstLine="560"/>
        <w:textAlignment w:val="auto"/>
      </w:pPr>
      <w:r>
        <w:rPr>
          <w:rFonts w:hint="eastAsia"/>
        </w:rPr>
        <w:t>《</w:t>
      </w:r>
      <w:r>
        <w:t>道路货物装载源头单位超限超载安全管理规范</w:t>
      </w:r>
      <w:r>
        <w:rPr>
          <w:rFonts w:hint="eastAsia"/>
        </w:rPr>
        <w:t>》承担单位对收集的相关方意见，进行了充分的整理和判断，编制完成了《</w:t>
      </w:r>
      <w:r>
        <w:t>南通市地方标准征求意见汇总表</w:t>
      </w:r>
      <w:r>
        <w:rPr>
          <w:rFonts w:hint="eastAsia"/>
        </w:rPr>
        <w:t>》。对各相关方提出的意见逐一进行了详细的解答和反馈，同时，完成了《</w:t>
      </w:r>
      <w:r>
        <w:t>标准审查申请函及评审专家推荐名单</w:t>
      </w:r>
      <w:r>
        <w:rPr>
          <w:rFonts w:hint="eastAsia"/>
        </w:rPr>
        <w:t>》、《</w:t>
      </w:r>
      <w:r>
        <w:t>地方标准送审稿</w:t>
      </w:r>
      <w:r>
        <w:rPr>
          <w:rFonts w:hint="eastAsia"/>
        </w:rPr>
        <w:t>》和《</w:t>
      </w:r>
      <w:r>
        <w:t>地方标准编制说明</w:t>
      </w:r>
      <w:r>
        <w:rPr>
          <w:rFonts w:hint="eastAsia"/>
        </w:rPr>
        <w:t>》，</w:t>
      </w:r>
      <w:r>
        <w:t>经推荐单位同意后，</w:t>
      </w:r>
      <w:r>
        <w:rPr>
          <w:rFonts w:hint="eastAsia"/>
        </w:rPr>
        <w:t>向南通市市场监督管理局</w:t>
      </w:r>
      <w:r>
        <w:t>提出地方标准审查申请</w:t>
      </w:r>
      <w:r>
        <w:rPr>
          <w:rFonts w:hint="eastAsia"/>
        </w:rPr>
        <w:t>。</w:t>
      </w:r>
    </w:p>
    <w:p>
      <w:pPr>
        <w:pStyle w:val="3"/>
        <w:numPr>
          <w:numId w:val="0"/>
        </w:numPr>
        <w:tabs>
          <w:tab w:val="left" w:pos="360"/>
        </w:tabs>
        <w:spacing w:before="156" w:after="156"/>
        <w:ind w:leftChars="0" w:firstLine="560" w:firstLineChars="200"/>
        <w:rPr>
          <w:rFonts w:ascii="方正黑体_GBK" w:eastAsia="方正黑体_GBK"/>
          <w:b w:val="0"/>
          <w:bCs w:val="0"/>
          <w:szCs w:val="28"/>
        </w:rPr>
      </w:pPr>
      <w:r>
        <w:rPr>
          <w:rFonts w:hint="eastAsia" w:ascii="方正黑体_GBK" w:eastAsia="方正黑体_GBK"/>
          <w:b w:val="0"/>
          <w:bCs w:val="0"/>
          <w:szCs w:val="28"/>
          <w:lang w:eastAsia="zh-CN"/>
        </w:rPr>
        <w:t>（四）</w:t>
      </w:r>
      <w:r>
        <w:rPr>
          <w:rFonts w:hint="eastAsia" w:ascii="方正黑体_GBK" w:eastAsia="方正黑体_GBK"/>
          <w:b w:val="0"/>
          <w:bCs w:val="0"/>
          <w:szCs w:val="28"/>
        </w:rPr>
        <w:t>主要起草人</w:t>
      </w:r>
    </w:p>
    <w:tbl>
      <w:tblPr>
        <w:tblStyle w:val="6"/>
        <w:tblW w:w="8393" w:type="dxa"/>
        <w:tblInd w:w="-34" w:type="dxa"/>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
      <w:tblGrid>
        <w:gridCol w:w="1163"/>
        <w:gridCol w:w="1276"/>
        <w:gridCol w:w="1418"/>
        <w:gridCol w:w="2976"/>
        <w:gridCol w:w="1560"/>
      </w:tblGrid>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CellMar>
            <w:top w:w="0" w:type="dxa"/>
            <w:left w:w="108" w:type="dxa"/>
            <w:bottom w:w="0" w:type="dxa"/>
            <w:right w:w="108" w:type="dxa"/>
          </w:tblCellMar>
        </w:tblPrEx>
        <w:trPr>
          <w:trHeight w:val="576" w:hRule="atLeast"/>
          <w:tblHeader/>
        </w:trPr>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Lines="0" w:after="0" w:afterLines="0" w:line="240" w:lineRule="auto"/>
              <w:ind w:firstLine="0" w:firstLineChars="0"/>
              <w:jc w:val="center"/>
              <w:rPr>
                <w:b/>
                <w:bCs/>
                <w:sz w:val="24"/>
                <w:szCs w:val="24"/>
              </w:rPr>
            </w:pPr>
            <w:r>
              <w:rPr>
                <w:rFonts w:hint="eastAsia"/>
                <w:b/>
                <w:bCs/>
                <w:sz w:val="24"/>
                <w:szCs w:val="24"/>
              </w:rPr>
              <w:t>姓名</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Lines="0" w:after="0" w:afterLines="0" w:line="240" w:lineRule="auto"/>
              <w:ind w:firstLine="0" w:firstLineChars="0"/>
              <w:jc w:val="center"/>
              <w:rPr>
                <w:b/>
                <w:bCs/>
                <w:sz w:val="24"/>
                <w:szCs w:val="24"/>
              </w:rPr>
            </w:pPr>
            <w:r>
              <w:rPr>
                <w:rFonts w:hint="eastAsia"/>
                <w:b/>
                <w:bCs/>
                <w:sz w:val="24"/>
                <w:szCs w:val="24"/>
              </w:rPr>
              <w:t>专业</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Lines="0" w:after="0" w:afterLines="0" w:line="240" w:lineRule="auto"/>
              <w:ind w:firstLine="0" w:firstLineChars="0"/>
              <w:jc w:val="center"/>
              <w:rPr>
                <w:b/>
                <w:bCs/>
                <w:sz w:val="24"/>
                <w:szCs w:val="24"/>
              </w:rPr>
            </w:pPr>
            <w:r>
              <w:rPr>
                <w:rFonts w:hint="eastAsia"/>
                <w:b/>
                <w:bCs/>
                <w:sz w:val="24"/>
                <w:szCs w:val="24"/>
              </w:rPr>
              <w:t>职称</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Lines="0" w:after="0" w:afterLines="0" w:line="240" w:lineRule="auto"/>
              <w:ind w:firstLine="0" w:firstLineChars="0"/>
              <w:jc w:val="center"/>
              <w:rPr>
                <w:b/>
                <w:bCs/>
                <w:sz w:val="24"/>
                <w:szCs w:val="24"/>
              </w:rPr>
            </w:pPr>
            <w:r>
              <w:rPr>
                <w:rFonts w:hint="eastAsia"/>
                <w:b/>
                <w:bCs/>
                <w:sz w:val="24"/>
                <w:szCs w:val="24"/>
              </w:rPr>
              <w:t>工作单位</w:t>
            </w:r>
          </w:p>
        </w:tc>
        <w:tc>
          <w:tcPr>
            <w:tcW w:w="1560"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before="0" w:beforeLines="0" w:after="0" w:afterLines="0" w:line="240" w:lineRule="auto"/>
              <w:ind w:firstLine="0" w:firstLineChars="0"/>
              <w:jc w:val="center"/>
              <w:rPr>
                <w:b/>
                <w:bCs/>
                <w:sz w:val="24"/>
                <w:szCs w:val="24"/>
              </w:rPr>
            </w:pPr>
            <w:r>
              <w:rPr>
                <w:rFonts w:hint="eastAsia"/>
                <w:b/>
                <w:bCs/>
                <w:sz w:val="24"/>
                <w:szCs w:val="24"/>
              </w:rPr>
              <w:t>项目分工</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CellMar>
            <w:top w:w="0" w:type="dxa"/>
            <w:left w:w="108" w:type="dxa"/>
            <w:bottom w:w="0" w:type="dxa"/>
            <w:right w:w="108" w:type="dxa"/>
          </w:tblCellMar>
        </w:tblPrEx>
        <w:trPr>
          <w:trHeight w:val="576" w:hRule="atLeast"/>
        </w:trPr>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Lines="0" w:after="0" w:afterLines="0" w:line="240" w:lineRule="auto"/>
              <w:ind w:firstLine="0" w:firstLineChars="0"/>
              <w:jc w:val="center"/>
              <w:rPr>
                <w:sz w:val="24"/>
                <w:szCs w:val="24"/>
              </w:rPr>
            </w:pPr>
            <w:r>
              <w:rPr>
                <w:sz w:val="24"/>
                <w:szCs w:val="24"/>
              </w:rPr>
              <w:t>季祥</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Lines="0" w:after="0" w:afterLines="0" w:line="240" w:lineRule="auto"/>
              <w:ind w:firstLine="0" w:firstLineChars="0"/>
              <w:jc w:val="center"/>
              <w:rPr>
                <w:sz w:val="24"/>
                <w:szCs w:val="24"/>
              </w:rPr>
            </w:pPr>
            <w:r>
              <w:rPr>
                <w:sz w:val="24"/>
                <w:szCs w:val="24"/>
              </w:rPr>
              <w:t>管理</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Lines="0" w:after="0" w:afterLines="0" w:line="240" w:lineRule="auto"/>
              <w:ind w:firstLine="0" w:firstLineChars="0"/>
              <w:jc w:val="center"/>
              <w:rPr>
                <w:sz w:val="24"/>
                <w:szCs w:val="24"/>
              </w:rPr>
            </w:pPr>
            <w:r>
              <w:rPr>
                <w:sz w:val="24"/>
                <w:szCs w:val="24"/>
              </w:rPr>
              <w:t>高工</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Lines="0" w:after="0" w:afterLines="0" w:line="240" w:lineRule="auto"/>
              <w:ind w:firstLine="0" w:firstLineChars="0"/>
              <w:jc w:val="center"/>
              <w:rPr>
                <w:sz w:val="24"/>
                <w:szCs w:val="24"/>
              </w:rPr>
            </w:pPr>
            <w:r>
              <w:rPr>
                <w:rFonts w:hint="eastAsia"/>
                <w:sz w:val="24"/>
                <w:szCs w:val="24"/>
              </w:rPr>
              <w:t>南通市交通运输综合行政执法支队</w:t>
            </w:r>
          </w:p>
        </w:tc>
        <w:tc>
          <w:tcPr>
            <w:tcW w:w="1560"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before="0" w:beforeLines="0" w:after="0" w:afterLines="0" w:line="240" w:lineRule="auto"/>
              <w:ind w:firstLine="0" w:firstLineChars="0"/>
              <w:jc w:val="center"/>
              <w:rPr>
                <w:sz w:val="24"/>
                <w:szCs w:val="24"/>
              </w:rPr>
            </w:pPr>
            <w:r>
              <w:rPr>
                <w:sz w:val="24"/>
                <w:szCs w:val="24"/>
              </w:rPr>
              <w:t>总牵头人</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CellMar>
            <w:top w:w="0" w:type="dxa"/>
            <w:left w:w="108" w:type="dxa"/>
            <w:bottom w:w="0" w:type="dxa"/>
            <w:right w:w="108" w:type="dxa"/>
          </w:tblCellMar>
        </w:tblPrEx>
        <w:trPr>
          <w:trHeight w:val="576" w:hRule="atLeast"/>
        </w:trPr>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Lines="0" w:after="0" w:afterLines="0" w:line="240" w:lineRule="auto"/>
              <w:ind w:firstLine="0" w:firstLineChars="0"/>
              <w:jc w:val="center"/>
              <w:rPr>
                <w:sz w:val="24"/>
                <w:szCs w:val="24"/>
              </w:rPr>
            </w:pPr>
            <w:r>
              <w:rPr>
                <w:rFonts w:hint="eastAsia"/>
                <w:sz w:val="24"/>
                <w:szCs w:val="24"/>
              </w:rPr>
              <w:t>钱超</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Lines="0" w:after="0" w:afterLines="0" w:line="240" w:lineRule="auto"/>
              <w:ind w:firstLine="0" w:firstLineChars="0"/>
              <w:jc w:val="center"/>
              <w:rPr>
                <w:sz w:val="24"/>
                <w:szCs w:val="24"/>
              </w:rPr>
            </w:pPr>
            <w:r>
              <w:rPr>
                <w:rFonts w:hint="eastAsia"/>
                <w:sz w:val="24"/>
                <w:szCs w:val="24"/>
              </w:rPr>
              <w:t>管理</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Lines="0" w:after="0" w:afterLines="0" w:line="240" w:lineRule="auto"/>
              <w:ind w:firstLine="0" w:firstLineChars="0"/>
              <w:jc w:val="center"/>
              <w:rPr>
                <w:sz w:val="24"/>
                <w:szCs w:val="24"/>
              </w:rPr>
            </w:pPr>
            <w:r>
              <w:rPr>
                <w:rFonts w:hint="eastAsia"/>
                <w:sz w:val="24"/>
                <w:szCs w:val="24"/>
              </w:rPr>
              <w:t>副支队长</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Lines="0" w:after="0" w:afterLines="0" w:line="240" w:lineRule="auto"/>
              <w:ind w:firstLine="0" w:firstLineChars="0"/>
              <w:jc w:val="center"/>
              <w:rPr>
                <w:sz w:val="24"/>
                <w:szCs w:val="24"/>
              </w:rPr>
            </w:pPr>
            <w:r>
              <w:rPr>
                <w:rFonts w:hint="eastAsia"/>
                <w:sz w:val="24"/>
                <w:szCs w:val="24"/>
              </w:rPr>
              <w:t>南通市交通运输综合行政执法支队</w:t>
            </w:r>
          </w:p>
        </w:tc>
        <w:tc>
          <w:tcPr>
            <w:tcW w:w="1560"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before="0" w:beforeLines="0" w:after="0" w:afterLines="0" w:line="240" w:lineRule="auto"/>
              <w:ind w:firstLine="0" w:firstLineChars="0"/>
              <w:jc w:val="center"/>
              <w:rPr>
                <w:sz w:val="24"/>
                <w:szCs w:val="24"/>
              </w:rPr>
            </w:pPr>
            <w:r>
              <w:rPr>
                <w:rFonts w:hint="eastAsia"/>
                <w:sz w:val="24"/>
                <w:szCs w:val="24"/>
              </w:rPr>
              <w:t>牵头人</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CellMar>
            <w:top w:w="0" w:type="dxa"/>
            <w:left w:w="108" w:type="dxa"/>
            <w:bottom w:w="0" w:type="dxa"/>
            <w:right w:w="108" w:type="dxa"/>
          </w:tblCellMar>
        </w:tblPrEx>
        <w:trPr>
          <w:trHeight w:val="576" w:hRule="atLeast"/>
        </w:trPr>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Lines="0" w:after="0" w:afterLines="0" w:line="240" w:lineRule="auto"/>
              <w:ind w:firstLine="0" w:firstLineChars="0"/>
              <w:jc w:val="center"/>
              <w:rPr>
                <w:sz w:val="24"/>
                <w:szCs w:val="24"/>
              </w:rPr>
            </w:pPr>
            <w:r>
              <w:rPr>
                <w:rFonts w:hint="eastAsia"/>
                <w:sz w:val="24"/>
                <w:szCs w:val="24"/>
              </w:rPr>
              <w:t>倪祥宝</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Lines="0" w:after="0" w:afterLines="0" w:line="240" w:lineRule="auto"/>
              <w:ind w:firstLine="0" w:firstLineChars="0"/>
              <w:jc w:val="center"/>
              <w:rPr>
                <w:sz w:val="24"/>
                <w:szCs w:val="24"/>
              </w:rPr>
            </w:pPr>
            <w:r>
              <w:rPr>
                <w:rFonts w:hint="eastAsia"/>
                <w:sz w:val="24"/>
                <w:szCs w:val="24"/>
              </w:rPr>
              <w:t>管理</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Lines="0" w:after="0" w:afterLines="0" w:line="240" w:lineRule="auto"/>
              <w:ind w:firstLine="0" w:firstLineChars="0"/>
              <w:jc w:val="center"/>
              <w:rPr>
                <w:sz w:val="24"/>
                <w:szCs w:val="24"/>
              </w:rPr>
            </w:pPr>
            <w:r>
              <w:rPr>
                <w:rFonts w:hint="eastAsia"/>
                <w:sz w:val="24"/>
                <w:szCs w:val="24"/>
              </w:rPr>
              <w:t>科长</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Lines="0" w:after="0" w:afterLines="0" w:line="240" w:lineRule="auto"/>
              <w:ind w:firstLine="0" w:firstLineChars="0"/>
              <w:jc w:val="center"/>
              <w:rPr>
                <w:sz w:val="24"/>
                <w:szCs w:val="24"/>
              </w:rPr>
            </w:pPr>
            <w:r>
              <w:rPr>
                <w:rFonts w:hint="eastAsia"/>
                <w:sz w:val="24"/>
                <w:szCs w:val="24"/>
              </w:rPr>
              <w:t>南通市交通运输综合行政执法支队</w:t>
            </w:r>
          </w:p>
        </w:tc>
        <w:tc>
          <w:tcPr>
            <w:tcW w:w="156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before="0" w:beforeLines="0" w:after="0" w:afterLines="0" w:line="240" w:lineRule="auto"/>
              <w:ind w:firstLine="0" w:firstLineChars="0"/>
              <w:jc w:val="center"/>
              <w:rPr>
                <w:sz w:val="24"/>
                <w:szCs w:val="24"/>
              </w:rPr>
            </w:pPr>
            <w:r>
              <w:rPr>
                <w:rFonts w:hint="eastAsia"/>
                <w:sz w:val="24"/>
                <w:szCs w:val="24"/>
              </w:rPr>
              <w:t>撰写人</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CellMar>
            <w:top w:w="0" w:type="dxa"/>
            <w:left w:w="108" w:type="dxa"/>
            <w:bottom w:w="0" w:type="dxa"/>
            <w:right w:w="108" w:type="dxa"/>
          </w:tblCellMar>
        </w:tblPrEx>
        <w:trPr>
          <w:trHeight w:val="576" w:hRule="atLeast"/>
        </w:trPr>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Lines="0" w:after="0" w:afterLines="0" w:line="240" w:lineRule="auto"/>
              <w:ind w:firstLine="0" w:firstLineChars="0"/>
              <w:jc w:val="center"/>
              <w:rPr>
                <w:sz w:val="24"/>
                <w:szCs w:val="24"/>
              </w:rPr>
            </w:pPr>
            <w:r>
              <w:rPr>
                <w:rFonts w:hint="eastAsia"/>
                <w:sz w:val="24"/>
                <w:szCs w:val="24"/>
              </w:rPr>
              <w:t>朱华</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Lines="0" w:after="0" w:afterLines="0" w:line="240" w:lineRule="auto"/>
              <w:ind w:firstLine="0" w:firstLineChars="0"/>
              <w:jc w:val="center"/>
              <w:rPr>
                <w:sz w:val="24"/>
                <w:szCs w:val="24"/>
              </w:rPr>
            </w:pPr>
            <w:r>
              <w:rPr>
                <w:rFonts w:hint="eastAsia"/>
                <w:sz w:val="24"/>
                <w:szCs w:val="24"/>
              </w:rPr>
              <w:t>区域经济</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Lines="0" w:after="0" w:afterLines="0" w:line="240" w:lineRule="auto"/>
              <w:ind w:firstLine="0" w:firstLineChars="0"/>
              <w:jc w:val="center"/>
              <w:rPr>
                <w:sz w:val="24"/>
                <w:szCs w:val="24"/>
              </w:rPr>
            </w:pPr>
            <w:r>
              <w:rPr>
                <w:rFonts w:hint="eastAsia"/>
                <w:sz w:val="24"/>
                <w:szCs w:val="24"/>
              </w:rPr>
              <w:t>高工</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Lines="0" w:after="0" w:afterLines="0" w:line="240" w:lineRule="auto"/>
              <w:ind w:firstLine="0" w:firstLineChars="0"/>
              <w:jc w:val="center"/>
              <w:rPr>
                <w:sz w:val="24"/>
                <w:szCs w:val="24"/>
              </w:rPr>
            </w:pPr>
            <w:r>
              <w:rPr>
                <w:rFonts w:hint="eastAsia"/>
                <w:sz w:val="24"/>
                <w:szCs w:val="24"/>
              </w:rPr>
              <w:t>南通市交通运输综合行政执法支队</w:t>
            </w:r>
          </w:p>
        </w:tc>
        <w:tc>
          <w:tcPr>
            <w:tcW w:w="156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before="0" w:beforeLines="0" w:after="0" w:afterLines="0" w:line="240" w:lineRule="auto"/>
              <w:ind w:firstLine="0" w:firstLineChars="0"/>
              <w:jc w:val="center"/>
              <w:rPr>
                <w:sz w:val="24"/>
                <w:szCs w:val="24"/>
              </w:rPr>
            </w:pPr>
            <w:r>
              <w:rPr>
                <w:rFonts w:hint="eastAsia"/>
                <w:sz w:val="24"/>
                <w:szCs w:val="24"/>
              </w:rPr>
              <w:t>撰写人</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CellMar>
            <w:top w:w="0" w:type="dxa"/>
            <w:left w:w="108" w:type="dxa"/>
            <w:bottom w:w="0" w:type="dxa"/>
            <w:right w:w="108" w:type="dxa"/>
          </w:tblCellMar>
        </w:tblPrEx>
        <w:trPr>
          <w:trHeight w:val="576" w:hRule="atLeast"/>
        </w:trPr>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Lines="0" w:after="0" w:afterLines="0" w:line="240" w:lineRule="auto"/>
              <w:ind w:firstLine="0" w:firstLineChars="0"/>
              <w:jc w:val="center"/>
              <w:rPr>
                <w:sz w:val="24"/>
                <w:szCs w:val="24"/>
              </w:rPr>
            </w:pPr>
            <w:r>
              <w:rPr>
                <w:rFonts w:hint="eastAsia"/>
                <w:sz w:val="24"/>
                <w:szCs w:val="24"/>
              </w:rPr>
              <w:t>刘宇婷</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Lines="0" w:after="0" w:afterLines="0" w:line="240" w:lineRule="auto"/>
              <w:ind w:firstLine="0" w:firstLineChars="0"/>
              <w:jc w:val="center"/>
              <w:rPr>
                <w:sz w:val="24"/>
                <w:szCs w:val="24"/>
              </w:rPr>
            </w:pPr>
            <w:r>
              <w:rPr>
                <w:rFonts w:hint="eastAsia"/>
                <w:sz w:val="24"/>
                <w:szCs w:val="24"/>
              </w:rPr>
              <w:t>法律</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Lines="0" w:after="0" w:afterLines="0" w:line="240" w:lineRule="auto"/>
              <w:ind w:firstLine="0" w:firstLineChars="0"/>
              <w:jc w:val="center"/>
              <w:rPr>
                <w:sz w:val="24"/>
                <w:szCs w:val="24"/>
              </w:rPr>
            </w:pPr>
            <w:r>
              <w:rPr>
                <w:rFonts w:hint="eastAsia"/>
                <w:sz w:val="24"/>
                <w:szCs w:val="24"/>
              </w:rPr>
              <w:t>科员</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Lines="0" w:after="0" w:afterLines="0" w:line="240" w:lineRule="auto"/>
              <w:ind w:firstLine="0" w:firstLineChars="0"/>
              <w:jc w:val="center"/>
              <w:rPr>
                <w:sz w:val="24"/>
                <w:szCs w:val="24"/>
              </w:rPr>
            </w:pPr>
            <w:r>
              <w:rPr>
                <w:rFonts w:hint="eastAsia"/>
                <w:sz w:val="24"/>
                <w:szCs w:val="24"/>
              </w:rPr>
              <w:t>南通市交通运输综合行政执法支队</w:t>
            </w:r>
          </w:p>
        </w:tc>
        <w:tc>
          <w:tcPr>
            <w:tcW w:w="156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before="0" w:beforeLines="0" w:after="0" w:afterLines="0" w:line="240" w:lineRule="auto"/>
              <w:ind w:firstLine="0" w:firstLineChars="0"/>
              <w:jc w:val="center"/>
              <w:rPr>
                <w:sz w:val="24"/>
                <w:szCs w:val="24"/>
              </w:rPr>
            </w:pPr>
            <w:r>
              <w:rPr>
                <w:rFonts w:hint="eastAsia"/>
                <w:sz w:val="24"/>
                <w:szCs w:val="24"/>
              </w:rPr>
              <w:t>撰写人</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CellMar>
            <w:top w:w="0" w:type="dxa"/>
            <w:left w:w="108" w:type="dxa"/>
            <w:bottom w:w="0" w:type="dxa"/>
            <w:right w:w="108" w:type="dxa"/>
          </w:tblCellMar>
        </w:tblPrEx>
        <w:trPr>
          <w:trHeight w:val="576" w:hRule="atLeast"/>
        </w:trPr>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Lines="0" w:after="0" w:afterLines="0" w:line="240" w:lineRule="auto"/>
              <w:ind w:firstLine="0" w:firstLineChars="0"/>
              <w:jc w:val="center"/>
              <w:rPr>
                <w:sz w:val="24"/>
                <w:szCs w:val="24"/>
              </w:rPr>
            </w:pPr>
            <w:r>
              <w:rPr>
                <w:rFonts w:hint="eastAsia"/>
                <w:sz w:val="24"/>
                <w:szCs w:val="24"/>
              </w:rPr>
              <w:t>黄晶</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Lines="0" w:after="0" w:afterLines="0" w:line="240" w:lineRule="auto"/>
              <w:ind w:firstLine="0" w:firstLineChars="0"/>
              <w:jc w:val="center"/>
              <w:rPr>
                <w:sz w:val="24"/>
                <w:szCs w:val="24"/>
              </w:rPr>
            </w:pPr>
            <w:r>
              <w:rPr>
                <w:rFonts w:hint="eastAsia"/>
                <w:sz w:val="24"/>
                <w:szCs w:val="24"/>
              </w:rPr>
              <w:t>法律</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Lines="0" w:after="0" w:afterLines="0" w:line="240" w:lineRule="auto"/>
              <w:ind w:firstLine="0" w:firstLineChars="0"/>
              <w:jc w:val="center"/>
              <w:rPr>
                <w:sz w:val="24"/>
                <w:szCs w:val="24"/>
              </w:rPr>
            </w:pPr>
            <w:r>
              <w:rPr>
                <w:rFonts w:hint="eastAsia"/>
                <w:sz w:val="24"/>
                <w:szCs w:val="24"/>
              </w:rPr>
              <w:t>科员</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Lines="0" w:after="0" w:afterLines="0" w:line="240" w:lineRule="auto"/>
              <w:ind w:firstLine="0" w:firstLineChars="0"/>
              <w:jc w:val="center"/>
              <w:rPr>
                <w:sz w:val="24"/>
                <w:szCs w:val="24"/>
              </w:rPr>
            </w:pPr>
            <w:r>
              <w:rPr>
                <w:rFonts w:hint="eastAsia"/>
                <w:sz w:val="24"/>
                <w:szCs w:val="24"/>
              </w:rPr>
              <w:t>南通市交通运输综合行政执法支队</w:t>
            </w:r>
          </w:p>
        </w:tc>
        <w:tc>
          <w:tcPr>
            <w:tcW w:w="156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before="0" w:beforeLines="0" w:after="0" w:afterLines="0" w:line="240" w:lineRule="auto"/>
              <w:ind w:firstLine="0" w:firstLineChars="0"/>
              <w:jc w:val="center"/>
              <w:rPr>
                <w:sz w:val="24"/>
                <w:szCs w:val="24"/>
              </w:rPr>
            </w:pPr>
            <w:r>
              <w:rPr>
                <w:rFonts w:hint="eastAsia"/>
                <w:sz w:val="24"/>
                <w:szCs w:val="24"/>
              </w:rPr>
              <w:t>撰写人</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CellMar>
            <w:top w:w="0" w:type="dxa"/>
            <w:left w:w="108" w:type="dxa"/>
            <w:bottom w:w="0" w:type="dxa"/>
            <w:right w:w="108" w:type="dxa"/>
          </w:tblCellMar>
        </w:tblPrEx>
        <w:trPr>
          <w:trHeight w:val="576" w:hRule="atLeast"/>
        </w:trPr>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Lines="0" w:after="0" w:afterLines="0" w:line="240" w:lineRule="auto"/>
              <w:ind w:firstLine="0" w:firstLineChars="0"/>
              <w:jc w:val="center"/>
              <w:rPr>
                <w:sz w:val="24"/>
                <w:szCs w:val="24"/>
              </w:rPr>
            </w:pPr>
            <w:r>
              <w:rPr>
                <w:rFonts w:hint="eastAsia"/>
                <w:sz w:val="24"/>
                <w:szCs w:val="24"/>
              </w:rPr>
              <w:t>刘锡华</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Lines="0" w:after="0" w:afterLines="0" w:line="240" w:lineRule="auto"/>
              <w:ind w:firstLine="0" w:firstLineChars="0"/>
              <w:jc w:val="center"/>
              <w:rPr>
                <w:sz w:val="24"/>
                <w:szCs w:val="24"/>
              </w:rPr>
            </w:pPr>
            <w:r>
              <w:rPr>
                <w:rFonts w:hint="eastAsia"/>
                <w:sz w:val="24"/>
                <w:szCs w:val="24"/>
              </w:rPr>
              <w:t>法律</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Lines="0" w:after="0" w:afterLines="0" w:line="240" w:lineRule="auto"/>
              <w:ind w:firstLine="0" w:firstLineChars="0"/>
              <w:jc w:val="center"/>
              <w:rPr>
                <w:sz w:val="24"/>
                <w:szCs w:val="24"/>
              </w:rPr>
            </w:pPr>
            <w:r>
              <w:rPr>
                <w:rFonts w:hint="eastAsia"/>
                <w:sz w:val="24"/>
                <w:szCs w:val="24"/>
              </w:rPr>
              <w:t>科员</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Lines="0" w:after="0" w:afterLines="0" w:line="240" w:lineRule="auto"/>
              <w:ind w:firstLine="0" w:firstLineChars="0"/>
              <w:jc w:val="center"/>
              <w:rPr>
                <w:sz w:val="24"/>
                <w:szCs w:val="24"/>
              </w:rPr>
            </w:pPr>
            <w:r>
              <w:rPr>
                <w:rFonts w:hint="eastAsia"/>
                <w:sz w:val="24"/>
                <w:szCs w:val="24"/>
              </w:rPr>
              <w:t>南通市交通运输综合行政执法支队</w:t>
            </w:r>
          </w:p>
        </w:tc>
        <w:tc>
          <w:tcPr>
            <w:tcW w:w="156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before="0" w:beforeLines="0" w:after="0" w:afterLines="0" w:line="240" w:lineRule="auto"/>
              <w:ind w:firstLine="0" w:firstLineChars="0"/>
              <w:jc w:val="center"/>
              <w:rPr>
                <w:sz w:val="24"/>
                <w:szCs w:val="24"/>
              </w:rPr>
            </w:pPr>
            <w:r>
              <w:rPr>
                <w:rFonts w:hint="eastAsia"/>
                <w:sz w:val="24"/>
                <w:szCs w:val="24"/>
              </w:rPr>
              <w:t>撰写人</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CellMar>
            <w:top w:w="0" w:type="dxa"/>
            <w:left w:w="108" w:type="dxa"/>
            <w:bottom w:w="0" w:type="dxa"/>
            <w:right w:w="108" w:type="dxa"/>
          </w:tblCellMar>
        </w:tblPrEx>
        <w:trPr>
          <w:trHeight w:val="576" w:hRule="atLeast"/>
        </w:trPr>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Lines="0" w:after="0" w:afterLines="0" w:line="240" w:lineRule="auto"/>
              <w:ind w:firstLine="0" w:firstLineChars="0"/>
              <w:jc w:val="center"/>
              <w:rPr>
                <w:sz w:val="24"/>
                <w:szCs w:val="24"/>
              </w:rPr>
            </w:pPr>
            <w:r>
              <w:rPr>
                <w:rFonts w:hint="eastAsia"/>
                <w:sz w:val="24"/>
                <w:szCs w:val="24"/>
              </w:rPr>
              <w:t>陈波</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Lines="0" w:after="0" w:afterLines="0" w:line="240" w:lineRule="auto"/>
              <w:ind w:firstLine="0" w:firstLineChars="0"/>
              <w:jc w:val="center"/>
              <w:rPr>
                <w:sz w:val="24"/>
                <w:szCs w:val="24"/>
              </w:rPr>
            </w:pPr>
            <w:r>
              <w:rPr>
                <w:rFonts w:hint="eastAsia"/>
                <w:sz w:val="24"/>
                <w:szCs w:val="24"/>
              </w:rPr>
              <w:t>管理</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Lines="0" w:after="0" w:afterLines="0" w:line="240" w:lineRule="auto"/>
              <w:ind w:firstLine="0" w:firstLineChars="0"/>
              <w:jc w:val="center"/>
              <w:rPr>
                <w:sz w:val="24"/>
                <w:szCs w:val="24"/>
              </w:rPr>
            </w:pPr>
            <w:r>
              <w:rPr>
                <w:rFonts w:hint="eastAsia"/>
                <w:sz w:val="24"/>
                <w:szCs w:val="24"/>
              </w:rPr>
              <w:t>工程师</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Lines="0" w:after="0" w:afterLines="0" w:line="240" w:lineRule="auto"/>
              <w:ind w:firstLine="0" w:firstLineChars="0"/>
              <w:jc w:val="center"/>
              <w:rPr>
                <w:sz w:val="24"/>
                <w:szCs w:val="24"/>
              </w:rPr>
            </w:pPr>
            <w:r>
              <w:rPr>
                <w:rFonts w:hint="eastAsia"/>
                <w:sz w:val="24"/>
                <w:szCs w:val="24"/>
              </w:rPr>
              <w:t>江苏长天智远交通科技有限公司</w:t>
            </w:r>
          </w:p>
        </w:tc>
        <w:tc>
          <w:tcPr>
            <w:tcW w:w="156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before="0" w:beforeLines="0" w:after="0" w:afterLines="0" w:line="240" w:lineRule="auto"/>
              <w:ind w:firstLine="0" w:firstLineChars="0"/>
              <w:jc w:val="center"/>
              <w:rPr>
                <w:sz w:val="24"/>
                <w:szCs w:val="24"/>
              </w:rPr>
            </w:pPr>
            <w:r>
              <w:rPr>
                <w:rFonts w:hint="eastAsia"/>
                <w:sz w:val="24"/>
                <w:szCs w:val="24"/>
              </w:rPr>
              <w:t>撰写人</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CellMar>
            <w:top w:w="0" w:type="dxa"/>
            <w:left w:w="108" w:type="dxa"/>
            <w:bottom w:w="0" w:type="dxa"/>
            <w:right w:w="108" w:type="dxa"/>
          </w:tblCellMar>
        </w:tblPrEx>
        <w:trPr>
          <w:trHeight w:val="576" w:hRule="atLeast"/>
        </w:trPr>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Lines="0" w:after="0" w:afterLines="0" w:line="240" w:lineRule="auto"/>
              <w:ind w:firstLine="0" w:firstLineChars="0"/>
              <w:jc w:val="center"/>
              <w:rPr>
                <w:sz w:val="24"/>
                <w:szCs w:val="24"/>
              </w:rPr>
            </w:pPr>
            <w:r>
              <w:rPr>
                <w:rFonts w:hint="eastAsia"/>
                <w:sz w:val="24"/>
                <w:szCs w:val="24"/>
              </w:rPr>
              <w:t>苏红</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Lines="0" w:after="0" w:afterLines="0" w:line="240" w:lineRule="auto"/>
              <w:ind w:firstLine="0" w:firstLineChars="0"/>
              <w:jc w:val="center"/>
              <w:rPr>
                <w:sz w:val="24"/>
                <w:szCs w:val="24"/>
              </w:rPr>
            </w:pPr>
            <w:r>
              <w:rPr>
                <w:rFonts w:hint="eastAsia"/>
                <w:sz w:val="24"/>
                <w:szCs w:val="24"/>
              </w:rPr>
              <w:t>管理</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Lines="0" w:after="0" w:afterLines="0" w:line="240" w:lineRule="auto"/>
              <w:ind w:firstLine="0" w:firstLineChars="0"/>
              <w:jc w:val="center"/>
              <w:rPr>
                <w:sz w:val="24"/>
                <w:szCs w:val="24"/>
              </w:rPr>
            </w:pPr>
            <w:r>
              <w:rPr>
                <w:rFonts w:hint="eastAsia"/>
                <w:sz w:val="24"/>
                <w:szCs w:val="24"/>
              </w:rPr>
              <w:t>高级工程师</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Lines="0" w:after="0" w:afterLines="0" w:line="240" w:lineRule="auto"/>
              <w:ind w:firstLine="0" w:firstLineChars="0"/>
              <w:jc w:val="center"/>
              <w:rPr>
                <w:sz w:val="24"/>
                <w:szCs w:val="24"/>
              </w:rPr>
            </w:pPr>
            <w:r>
              <w:rPr>
                <w:rFonts w:hint="eastAsia"/>
                <w:sz w:val="24"/>
                <w:szCs w:val="24"/>
              </w:rPr>
              <w:t>江苏长天智远交通科技有限公司</w:t>
            </w:r>
          </w:p>
        </w:tc>
        <w:tc>
          <w:tcPr>
            <w:tcW w:w="1560"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before="0" w:beforeLines="0" w:after="0" w:afterLines="0" w:line="240" w:lineRule="auto"/>
              <w:ind w:firstLine="0" w:firstLineChars="0"/>
              <w:jc w:val="center"/>
              <w:rPr>
                <w:sz w:val="24"/>
                <w:szCs w:val="24"/>
              </w:rPr>
            </w:pPr>
            <w:r>
              <w:rPr>
                <w:rFonts w:hint="eastAsia"/>
                <w:sz w:val="24"/>
                <w:szCs w:val="24"/>
              </w:rPr>
              <w:t>撰写人</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CellMar>
            <w:top w:w="0" w:type="dxa"/>
            <w:left w:w="108" w:type="dxa"/>
            <w:bottom w:w="0" w:type="dxa"/>
            <w:right w:w="108" w:type="dxa"/>
          </w:tblCellMar>
        </w:tblPrEx>
        <w:trPr>
          <w:trHeight w:val="576" w:hRule="atLeast"/>
        </w:trPr>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Lines="0" w:after="0" w:afterLines="0" w:line="240" w:lineRule="auto"/>
              <w:ind w:firstLine="0" w:firstLineChars="0"/>
              <w:jc w:val="center"/>
              <w:rPr>
                <w:sz w:val="24"/>
                <w:szCs w:val="24"/>
              </w:rPr>
            </w:pPr>
            <w:r>
              <w:rPr>
                <w:rFonts w:hint="eastAsia"/>
                <w:sz w:val="24"/>
                <w:szCs w:val="24"/>
              </w:rPr>
              <w:t>王珂</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Lines="0" w:after="0" w:afterLines="0" w:line="240" w:lineRule="auto"/>
              <w:ind w:firstLine="0" w:firstLineChars="0"/>
              <w:jc w:val="center"/>
              <w:rPr>
                <w:sz w:val="24"/>
                <w:szCs w:val="24"/>
              </w:rPr>
            </w:pPr>
            <w:r>
              <w:rPr>
                <w:rFonts w:hint="eastAsia"/>
                <w:sz w:val="24"/>
                <w:szCs w:val="24"/>
              </w:rPr>
              <w:t>管理</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Lines="0" w:after="0" w:afterLines="0" w:line="240" w:lineRule="auto"/>
              <w:ind w:firstLine="0" w:firstLineChars="0"/>
              <w:jc w:val="center"/>
              <w:rPr>
                <w:sz w:val="24"/>
                <w:szCs w:val="24"/>
              </w:rPr>
            </w:pPr>
            <w:r>
              <w:rPr>
                <w:rFonts w:hint="eastAsia"/>
                <w:sz w:val="24"/>
                <w:szCs w:val="24"/>
              </w:rPr>
              <w:t>工程师</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Lines="0" w:after="0" w:afterLines="0" w:line="240" w:lineRule="auto"/>
              <w:ind w:firstLine="0" w:firstLineChars="0"/>
              <w:jc w:val="center"/>
              <w:rPr>
                <w:sz w:val="24"/>
                <w:szCs w:val="24"/>
              </w:rPr>
            </w:pPr>
            <w:r>
              <w:rPr>
                <w:rFonts w:hint="eastAsia"/>
                <w:sz w:val="24"/>
                <w:szCs w:val="24"/>
              </w:rPr>
              <w:t>江苏长天智远交通科技有限公司</w:t>
            </w:r>
          </w:p>
        </w:tc>
        <w:tc>
          <w:tcPr>
            <w:tcW w:w="1560"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before="0" w:beforeLines="0" w:after="0" w:afterLines="0" w:line="240" w:lineRule="auto"/>
              <w:ind w:firstLine="0" w:firstLineChars="0"/>
              <w:jc w:val="center"/>
              <w:rPr>
                <w:sz w:val="24"/>
                <w:szCs w:val="24"/>
              </w:rPr>
            </w:pPr>
            <w:r>
              <w:rPr>
                <w:rFonts w:hint="eastAsia"/>
                <w:sz w:val="24"/>
                <w:szCs w:val="24"/>
              </w:rPr>
              <w:t>撰写人</w:t>
            </w:r>
          </w:p>
        </w:tc>
      </w:tr>
    </w:tbl>
    <w:p>
      <w:pPr>
        <w:pStyle w:val="2"/>
        <w:keepNext/>
        <w:keepLines/>
        <w:pageBreakBefore w:val="0"/>
        <w:widowControl w:val="0"/>
        <w:numPr>
          <w:numId w:val="0"/>
        </w:numPr>
        <w:kinsoku/>
        <w:wordWrap/>
        <w:overflowPunct/>
        <w:topLinePunct w:val="0"/>
        <w:autoSpaceDE/>
        <w:autoSpaceDN/>
        <w:bidi w:val="0"/>
        <w:adjustRightInd/>
        <w:snapToGrid/>
        <w:spacing w:before="0" w:beforeLines="0" w:after="0" w:afterLines="0" w:line="520" w:lineRule="exact"/>
        <w:ind w:leftChars="0" w:firstLine="643" w:firstLineChars="200"/>
        <w:textAlignment w:val="auto"/>
        <w:rPr>
          <w:rFonts w:ascii="方正黑体_GBK"/>
          <w:sz w:val="32"/>
          <w:szCs w:val="48"/>
        </w:rPr>
      </w:pPr>
      <w:r>
        <w:rPr>
          <w:rFonts w:hint="eastAsia" w:ascii="方正黑体_GBK"/>
          <w:sz w:val="32"/>
          <w:szCs w:val="48"/>
          <w:lang w:eastAsia="zh-CN"/>
        </w:rPr>
        <w:t>三、</w:t>
      </w:r>
      <w:r>
        <w:rPr>
          <w:rFonts w:ascii="方正黑体_GBK"/>
          <w:sz w:val="32"/>
          <w:szCs w:val="48"/>
        </w:rPr>
        <w:t>标准编制原则和地方标准主要内容的确定依据</w:t>
      </w:r>
    </w:p>
    <w:p>
      <w:pPr>
        <w:pStyle w:val="3"/>
        <w:keepNext/>
        <w:keepLines/>
        <w:pageBreakBefore w:val="0"/>
        <w:widowControl w:val="0"/>
        <w:numPr>
          <w:numId w:val="0"/>
        </w:numPr>
        <w:kinsoku/>
        <w:wordWrap/>
        <w:overflowPunct/>
        <w:topLinePunct w:val="0"/>
        <w:autoSpaceDE/>
        <w:autoSpaceDN/>
        <w:bidi w:val="0"/>
        <w:adjustRightInd/>
        <w:snapToGrid/>
        <w:spacing w:before="0" w:beforeLines="0" w:after="0" w:afterLines="0" w:line="520" w:lineRule="exact"/>
        <w:ind w:leftChars="0" w:firstLine="560" w:firstLineChars="200"/>
        <w:textAlignment w:val="auto"/>
        <w:rPr>
          <w:rFonts w:ascii="方正黑体_GBK" w:eastAsia="方正黑体_GBK"/>
          <w:b w:val="0"/>
          <w:bCs w:val="0"/>
          <w:szCs w:val="28"/>
        </w:rPr>
      </w:pPr>
      <w:r>
        <w:rPr>
          <w:rFonts w:hint="eastAsia" w:ascii="方正黑体_GBK" w:eastAsia="方正黑体_GBK"/>
          <w:b w:val="0"/>
          <w:bCs w:val="0"/>
          <w:szCs w:val="28"/>
          <w:lang w:eastAsia="zh-CN"/>
        </w:rPr>
        <w:t>（一）</w:t>
      </w:r>
      <w:r>
        <w:rPr>
          <w:rFonts w:hint="eastAsia" w:ascii="方正黑体_GBK" w:eastAsia="方正黑体_GBK"/>
          <w:b w:val="0"/>
          <w:bCs w:val="0"/>
          <w:szCs w:val="28"/>
        </w:rPr>
        <w:t>编制原则</w:t>
      </w:r>
    </w:p>
    <w:p>
      <w:pPr>
        <w:pageBreakBefore w:val="0"/>
        <w:widowControl w:val="0"/>
        <w:kinsoku/>
        <w:wordWrap/>
        <w:overflowPunct/>
        <w:topLinePunct w:val="0"/>
        <w:autoSpaceDE/>
        <w:autoSpaceDN/>
        <w:bidi w:val="0"/>
        <w:adjustRightInd/>
        <w:snapToGrid/>
        <w:spacing w:before="0" w:beforeLines="0" w:after="0" w:afterLines="0" w:line="520" w:lineRule="exact"/>
        <w:ind w:firstLine="560"/>
        <w:textAlignment w:val="auto"/>
      </w:pPr>
      <w:r>
        <w:rPr>
          <w:rFonts w:hint="eastAsia"/>
        </w:rPr>
        <w:t>按照</w:t>
      </w:r>
      <w:r>
        <w:t xml:space="preserve"> GB/T 1.1-2020《标准化工作导则 第 1 部分：标准化文件的结构和起草规则》的要求和规定，确定标准的组成要素。</w:t>
      </w:r>
    </w:p>
    <w:p>
      <w:pPr>
        <w:pageBreakBefore w:val="0"/>
        <w:widowControl w:val="0"/>
        <w:kinsoku/>
        <w:wordWrap/>
        <w:overflowPunct/>
        <w:topLinePunct w:val="0"/>
        <w:autoSpaceDE/>
        <w:autoSpaceDN/>
        <w:bidi w:val="0"/>
        <w:adjustRightInd/>
        <w:snapToGrid/>
        <w:spacing w:before="0" w:beforeLines="0" w:after="0" w:afterLines="0" w:line="520" w:lineRule="exact"/>
        <w:ind w:firstLine="560"/>
        <w:textAlignment w:val="auto"/>
      </w:pPr>
      <w:r>
        <w:rPr>
          <w:rFonts w:hint="eastAsia"/>
        </w:rPr>
        <w:t>本标准编制的原则主要有以下几个方面：</w:t>
      </w:r>
    </w:p>
    <w:p>
      <w:pPr>
        <w:pageBreakBefore w:val="0"/>
        <w:widowControl w:val="0"/>
        <w:kinsoku/>
        <w:wordWrap/>
        <w:overflowPunct/>
        <w:topLinePunct w:val="0"/>
        <w:autoSpaceDE/>
        <w:autoSpaceDN/>
        <w:bidi w:val="0"/>
        <w:adjustRightInd/>
        <w:snapToGrid/>
        <w:spacing w:before="0" w:beforeLines="0" w:after="0" w:afterLines="0" w:line="520" w:lineRule="exact"/>
        <w:ind w:firstLine="560"/>
        <w:textAlignment w:val="auto"/>
      </w:pPr>
      <w:r>
        <w:rPr>
          <w:rFonts w:hint="eastAsia"/>
        </w:rPr>
        <w:t>一是合规性原则。本标准的制定，是在国家、省级、市级出台的超限超载安全监管相关政策文件的基础上，综合考虑南通市货物装载源头单位超限超载安全监管工作需求，归纳总结形成一套系统化的货物装载源头单位超限超载日常安全管理的基本要求。</w:t>
      </w:r>
    </w:p>
    <w:p>
      <w:pPr>
        <w:pageBreakBefore w:val="0"/>
        <w:widowControl w:val="0"/>
        <w:kinsoku/>
        <w:wordWrap/>
        <w:overflowPunct/>
        <w:topLinePunct w:val="0"/>
        <w:autoSpaceDE/>
        <w:autoSpaceDN/>
        <w:bidi w:val="0"/>
        <w:adjustRightInd/>
        <w:snapToGrid/>
        <w:spacing w:before="0" w:beforeLines="0" w:after="0" w:afterLines="0" w:line="520" w:lineRule="exact"/>
        <w:ind w:firstLine="560"/>
        <w:textAlignment w:val="auto"/>
      </w:pPr>
      <w:r>
        <w:rPr>
          <w:rFonts w:hint="eastAsia"/>
        </w:rPr>
        <w:t>二是可操作性原则。本标准是免费提供给企业作为日常安全管理标准化依据，同时，为企业安全管理提供可操作的标准“模板”，企业只需通过对标找差借鉴实施即可。既解决了企业安全管理效果差的问题，同时，还促使企业规范自身安全管理行为。特别是本标准将内容通过清单式列出，操作起来简单，落实起来方便，能够很好的解决部分规模较小的企业缺乏专业安全管理人才的困难。</w:t>
      </w:r>
    </w:p>
    <w:p>
      <w:pPr>
        <w:pageBreakBefore w:val="0"/>
        <w:widowControl w:val="0"/>
        <w:kinsoku/>
        <w:wordWrap/>
        <w:overflowPunct/>
        <w:topLinePunct w:val="0"/>
        <w:autoSpaceDE/>
        <w:autoSpaceDN/>
        <w:bidi w:val="0"/>
        <w:adjustRightInd/>
        <w:snapToGrid/>
        <w:spacing w:before="0" w:beforeLines="0" w:after="0" w:afterLines="0" w:line="520" w:lineRule="exact"/>
        <w:ind w:firstLine="560"/>
        <w:textAlignment w:val="auto"/>
      </w:pPr>
      <w:r>
        <w:rPr>
          <w:rFonts w:hint="eastAsia"/>
        </w:rPr>
        <w:t>三是指导性原则。由于不同地市和道路货物运输行业的发展水平和建设基础参差不齐，亟需一套能够适应当前南通市域各级别货物装载源头单位进行日常超限超载安全管理的规范标准，解决车辆管理、人员管理、运单管理、制度管理、安全管理台账、称重监控管理等环节的安全管理要求，更好的指导全市相关源头单位安全有序、快速发展。</w:t>
      </w:r>
    </w:p>
    <w:p>
      <w:pPr>
        <w:pStyle w:val="3"/>
        <w:pageBreakBefore w:val="0"/>
        <w:widowControl w:val="0"/>
        <w:numPr>
          <w:numId w:val="0"/>
        </w:numPr>
        <w:kinsoku/>
        <w:wordWrap/>
        <w:overflowPunct/>
        <w:topLinePunct w:val="0"/>
        <w:autoSpaceDE/>
        <w:autoSpaceDN/>
        <w:bidi w:val="0"/>
        <w:adjustRightInd/>
        <w:snapToGrid/>
        <w:spacing w:before="0" w:beforeLines="0" w:after="0" w:afterLines="0" w:line="520" w:lineRule="exact"/>
        <w:ind w:leftChars="0" w:firstLine="560" w:firstLineChars="200"/>
        <w:textAlignment w:val="auto"/>
        <w:rPr>
          <w:rFonts w:ascii="方正黑体_GBK" w:eastAsia="方正黑体_GBK"/>
          <w:b w:val="0"/>
          <w:bCs w:val="0"/>
          <w:szCs w:val="28"/>
        </w:rPr>
      </w:pPr>
      <w:r>
        <w:rPr>
          <w:rFonts w:hint="eastAsia" w:ascii="方正黑体_GBK" w:eastAsia="方正黑体_GBK"/>
          <w:b w:val="0"/>
          <w:bCs w:val="0"/>
          <w:szCs w:val="28"/>
          <w:lang w:eastAsia="zh-CN"/>
        </w:rPr>
        <w:t>（二）</w:t>
      </w:r>
      <w:r>
        <w:rPr>
          <w:rFonts w:hint="eastAsia" w:ascii="方正黑体_GBK" w:eastAsia="方正黑体_GBK"/>
          <w:b w:val="0"/>
          <w:bCs w:val="0"/>
          <w:szCs w:val="28"/>
        </w:rPr>
        <w:t>主要内容确定依据</w:t>
      </w:r>
    </w:p>
    <w:p>
      <w:pPr>
        <w:pageBreakBefore w:val="0"/>
        <w:widowControl w:val="0"/>
        <w:kinsoku/>
        <w:wordWrap/>
        <w:overflowPunct/>
        <w:topLinePunct w:val="0"/>
        <w:autoSpaceDE/>
        <w:autoSpaceDN/>
        <w:bidi w:val="0"/>
        <w:adjustRightInd/>
        <w:snapToGrid/>
        <w:spacing w:before="0" w:beforeLines="0" w:after="0" w:afterLines="0" w:line="520" w:lineRule="exact"/>
        <w:ind w:firstLine="560"/>
        <w:textAlignment w:val="auto"/>
      </w:pPr>
      <w:r>
        <w:rPr>
          <w:rFonts w:hint="eastAsia"/>
        </w:rPr>
        <w:t>本标准与相关国家标准、行业标准和地方标准相协调，与国家、本省的行政法规和规定的部门管理职责相一致，并按照</w:t>
      </w:r>
      <w:r>
        <w:t xml:space="preserve"> GB/T 1.1-2020《标准化工作导则 第 1 部分：标准化文件的结构和起草规则》的要求</w:t>
      </w:r>
      <w:r>
        <w:rPr>
          <w:rFonts w:hint="eastAsia"/>
        </w:rPr>
        <w:t>编制《道路货物装载源头单位超限超载安全管理规范》</w:t>
      </w:r>
    </w:p>
    <w:p>
      <w:pPr>
        <w:pageBreakBefore w:val="0"/>
        <w:widowControl w:val="0"/>
        <w:kinsoku/>
        <w:wordWrap/>
        <w:overflowPunct/>
        <w:topLinePunct w:val="0"/>
        <w:autoSpaceDE/>
        <w:autoSpaceDN/>
        <w:bidi w:val="0"/>
        <w:adjustRightInd/>
        <w:snapToGrid/>
        <w:spacing w:before="0" w:beforeLines="0" w:after="0" w:afterLines="0" w:line="520" w:lineRule="exact"/>
        <w:ind w:firstLine="560"/>
        <w:textAlignment w:val="auto"/>
      </w:pPr>
      <w:r>
        <w:t>该标准遵守国家相关法律、法规，遵守执行国家强制性标准及编制规则。</w:t>
      </w:r>
    </w:p>
    <w:p>
      <w:pPr>
        <w:pageBreakBefore w:val="0"/>
        <w:widowControl w:val="0"/>
        <w:kinsoku/>
        <w:wordWrap/>
        <w:overflowPunct/>
        <w:topLinePunct w:val="0"/>
        <w:autoSpaceDE/>
        <w:autoSpaceDN/>
        <w:bidi w:val="0"/>
        <w:adjustRightInd/>
        <w:snapToGrid/>
        <w:spacing w:before="0" w:beforeLines="0" w:after="0" w:afterLines="0" w:line="520" w:lineRule="exact"/>
        <w:ind w:firstLine="560"/>
        <w:textAlignment w:val="auto"/>
      </w:pPr>
      <w:r>
        <w:rPr>
          <w:rFonts w:hint="eastAsia"/>
        </w:rPr>
        <w:t>本标准制定过程中引用的主要标准说明如下：</w:t>
      </w:r>
    </w:p>
    <w:p>
      <w:pPr>
        <w:pStyle w:val="11"/>
        <w:pageBreakBefore w:val="0"/>
        <w:widowControl w:val="0"/>
        <w:numPr>
          <w:ilvl w:val="0"/>
          <w:numId w:val="1"/>
        </w:numPr>
        <w:kinsoku/>
        <w:wordWrap/>
        <w:overflowPunct/>
        <w:topLinePunct w:val="0"/>
        <w:autoSpaceDE/>
        <w:autoSpaceDN/>
        <w:bidi w:val="0"/>
        <w:adjustRightInd/>
        <w:snapToGrid/>
        <w:spacing w:before="0" w:beforeLines="0" w:after="0" w:afterLines="0" w:line="520" w:lineRule="exact"/>
        <w:ind w:left="0" w:firstLine="560" w:firstLineChars="0"/>
        <w:textAlignment w:val="auto"/>
        <w:rPr>
          <w:rFonts w:ascii="方正仿宋_GBK" w:eastAsia="方正仿宋_GBK"/>
        </w:rPr>
      </w:pPr>
      <w:bookmarkStart w:id="0" w:name="_Hlk133375933"/>
      <w:r>
        <w:rPr>
          <w:rFonts w:hint="eastAsia" w:ascii="方正仿宋_GBK" w:eastAsia="方正仿宋_GBK"/>
        </w:rPr>
        <w:t>在最初立项时，本标准名为“货物装载源头安全管理规范”，后经综合考虑，标准名称的表述应主体明确、具体、针对性强、易于与其他文件相区分，同时结合现有的相关法律法规、政策文件的表述，比如《南通市道路货物装载源头超限超载管理办法》（通治超〔2020〕1号），故将本标准改名为“道路货物装载源头单位超限超载安全管理规范”。</w:t>
      </w:r>
    </w:p>
    <w:bookmarkEnd w:id="0"/>
    <w:p>
      <w:pPr>
        <w:pStyle w:val="11"/>
        <w:pageBreakBefore w:val="0"/>
        <w:widowControl w:val="0"/>
        <w:numPr>
          <w:ilvl w:val="0"/>
          <w:numId w:val="1"/>
        </w:numPr>
        <w:kinsoku/>
        <w:wordWrap/>
        <w:overflowPunct/>
        <w:topLinePunct w:val="0"/>
        <w:autoSpaceDE/>
        <w:autoSpaceDN/>
        <w:bidi w:val="0"/>
        <w:adjustRightInd/>
        <w:snapToGrid/>
        <w:spacing w:before="0" w:beforeLines="0" w:after="0" w:afterLines="0" w:line="520" w:lineRule="exact"/>
        <w:ind w:left="0" w:firstLine="560"/>
        <w:textAlignment w:val="auto"/>
        <w:rPr>
          <w:rFonts w:ascii="方正仿宋_GBK" w:eastAsia="方正仿宋_GBK"/>
        </w:rPr>
      </w:pPr>
      <w:r>
        <w:rPr>
          <w:rFonts w:hint="eastAsia" w:ascii="方正仿宋_GBK" w:eastAsia="方正仿宋_GBK"/>
        </w:rPr>
        <w:t>3.1引用《江苏省公路条例》（2021）中第五十二条“货物装载源头单位”的定义。</w:t>
      </w:r>
    </w:p>
    <w:p>
      <w:pPr>
        <w:pStyle w:val="11"/>
        <w:pageBreakBefore w:val="0"/>
        <w:widowControl w:val="0"/>
        <w:numPr>
          <w:ilvl w:val="0"/>
          <w:numId w:val="1"/>
        </w:numPr>
        <w:kinsoku/>
        <w:wordWrap/>
        <w:overflowPunct/>
        <w:topLinePunct w:val="0"/>
        <w:autoSpaceDE/>
        <w:autoSpaceDN/>
        <w:bidi w:val="0"/>
        <w:adjustRightInd/>
        <w:snapToGrid/>
        <w:spacing w:before="0" w:beforeLines="0" w:after="0" w:afterLines="0" w:line="520" w:lineRule="exact"/>
        <w:ind w:left="0" w:firstLine="560"/>
        <w:textAlignment w:val="auto"/>
        <w:rPr>
          <w:rFonts w:ascii="方正仿宋_GBK" w:eastAsia="方正仿宋_GBK"/>
        </w:rPr>
      </w:pPr>
      <w:r>
        <w:rPr>
          <w:rFonts w:hint="eastAsia" w:ascii="方正仿宋_GBK" w:eastAsia="方正仿宋_GBK"/>
        </w:rPr>
        <w:t>3.</w:t>
      </w:r>
      <w:r>
        <w:rPr>
          <w:rFonts w:ascii="方正仿宋_GBK" w:eastAsia="方正仿宋_GBK"/>
        </w:rPr>
        <w:t>2</w:t>
      </w:r>
      <w:r>
        <w:rPr>
          <w:rFonts w:hint="eastAsia" w:ascii="方正仿宋_GBK" w:eastAsia="方正仿宋_GBK"/>
        </w:rPr>
        <w:t>引用《江苏省治理公路超限超载运输办法》（江苏省人民政府令第160号）中第十一条“重点货物装载源头单位”的定义。</w:t>
      </w:r>
    </w:p>
    <w:p>
      <w:pPr>
        <w:pStyle w:val="11"/>
        <w:pageBreakBefore w:val="0"/>
        <w:widowControl w:val="0"/>
        <w:numPr>
          <w:ilvl w:val="0"/>
          <w:numId w:val="1"/>
        </w:numPr>
        <w:kinsoku/>
        <w:wordWrap/>
        <w:overflowPunct/>
        <w:topLinePunct w:val="0"/>
        <w:autoSpaceDE/>
        <w:autoSpaceDN/>
        <w:bidi w:val="0"/>
        <w:adjustRightInd/>
        <w:snapToGrid/>
        <w:spacing w:before="0" w:beforeLines="0" w:after="0" w:afterLines="0" w:line="520" w:lineRule="exact"/>
        <w:ind w:left="0" w:firstLine="560"/>
        <w:textAlignment w:val="auto"/>
        <w:rPr>
          <w:rFonts w:ascii="方正仿宋_GBK" w:eastAsia="方正仿宋_GBK"/>
        </w:rPr>
      </w:pPr>
      <w:r>
        <w:rPr>
          <w:rFonts w:hint="eastAsia" w:ascii="方正仿宋_GBK" w:eastAsia="方正仿宋_GBK"/>
        </w:rPr>
        <w:t>4.1.1根据《交通运输部 公安部关于治理车辆超限超载联合执法常态化制度化工作的实施意见（试行）》(交公路发〔2017〕173号)文件的规定，货运车辆要严格按照《公路货运车辆超限超载认定标准》装载配载货物，对《公路货运车辆超限超载认定标准》中未列车型，根据《汽车、挂车及汽车列车外廓尺寸、轴荷及质量限值》（GB1589—2016）规定，确定相应的总质量限值。</w:t>
      </w:r>
    </w:p>
    <w:p>
      <w:pPr>
        <w:pStyle w:val="11"/>
        <w:pageBreakBefore w:val="0"/>
        <w:widowControl w:val="0"/>
        <w:numPr>
          <w:ilvl w:val="0"/>
          <w:numId w:val="1"/>
        </w:numPr>
        <w:kinsoku/>
        <w:wordWrap/>
        <w:overflowPunct/>
        <w:topLinePunct w:val="0"/>
        <w:autoSpaceDE/>
        <w:autoSpaceDN/>
        <w:bidi w:val="0"/>
        <w:adjustRightInd/>
        <w:snapToGrid/>
        <w:spacing w:before="0" w:beforeLines="0" w:after="0" w:afterLines="0" w:line="520" w:lineRule="exact"/>
        <w:ind w:left="0" w:firstLine="560"/>
        <w:textAlignment w:val="auto"/>
        <w:rPr>
          <w:rFonts w:ascii="方正仿宋_GBK" w:eastAsia="方正仿宋_GBK"/>
        </w:rPr>
      </w:pPr>
      <w:r>
        <w:rPr>
          <w:rFonts w:ascii="方正仿宋_GBK" w:eastAsia="方正仿宋_GBK"/>
        </w:rPr>
        <w:t>4.1.10</w:t>
      </w:r>
      <w:r>
        <w:rPr>
          <w:rFonts w:hint="eastAsia" w:ascii="方正仿宋_GBK" w:eastAsia="方正仿宋_GBK"/>
        </w:rPr>
        <w:t>根据《</w:t>
      </w:r>
      <w:r>
        <w:rPr>
          <w:rFonts w:ascii="方正仿宋_GBK" w:eastAsia="方正仿宋_GBK"/>
        </w:rPr>
        <w:t>道路运输车辆动态监督管理办法</w:t>
      </w:r>
      <w:r>
        <w:rPr>
          <w:rFonts w:hint="eastAsia" w:ascii="方正仿宋_GBK" w:eastAsia="方正仿宋_GBK"/>
        </w:rPr>
        <w:t>》（</w:t>
      </w:r>
      <w:r>
        <w:rPr>
          <w:rFonts w:ascii="方正仿宋_GBK" w:eastAsia="方正仿宋_GBK"/>
        </w:rPr>
        <w:t>2022年2月14日修正</w:t>
      </w:r>
      <w:r>
        <w:rPr>
          <w:rFonts w:hint="eastAsia" w:ascii="方正仿宋_GBK" w:eastAsia="方正仿宋_GBK"/>
        </w:rPr>
        <w:t>）</w:t>
      </w:r>
      <w:r>
        <w:rPr>
          <w:rFonts w:ascii="方正仿宋_GBK" w:eastAsia="方正仿宋_GBK"/>
        </w:rPr>
        <w:t>第三十四条</w:t>
      </w:r>
      <w:r>
        <w:rPr>
          <w:rFonts w:hint="eastAsia" w:ascii="方正仿宋_GBK" w:eastAsia="方正仿宋_GBK"/>
        </w:rPr>
        <w:t>的规定，</w:t>
      </w:r>
      <w:r>
        <w:rPr>
          <w:rFonts w:ascii="方正仿宋_GBK" w:eastAsia="方正仿宋_GBK"/>
        </w:rPr>
        <w:t>道路运输管理机构对未按照要求安装卫星定位装置，或者已安装卫星定位装置但未能在联网联控系统（重型载货汽车和半挂牵引车未能在道路货运车辆公共平台）正常显示的车辆，不予发放或者审验《道路运输证》</w:t>
      </w:r>
      <w:r>
        <w:rPr>
          <w:rFonts w:hint="eastAsia" w:ascii="方正仿宋_GBK" w:eastAsia="方正仿宋_GBK"/>
        </w:rPr>
        <w:t>，故货物装载源头单位应核查其是否安装</w:t>
      </w:r>
      <w:r>
        <w:rPr>
          <w:rFonts w:ascii="方正仿宋_GBK" w:eastAsia="方正仿宋_GBK"/>
        </w:rPr>
        <w:t>卫星定位装置</w:t>
      </w:r>
      <w:r>
        <w:rPr>
          <w:rFonts w:hint="eastAsia" w:ascii="方正仿宋_GBK" w:eastAsia="方正仿宋_GBK"/>
        </w:rPr>
        <w:t>并正常使用，否则不予装载配载。</w:t>
      </w:r>
    </w:p>
    <w:p>
      <w:pPr>
        <w:pStyle w:val="11"/>
        <w:pageBreakBefore w:val="0"/>
        <w:widowControl w:val="0"/>
        <w:numPr>
          <w:ilvl w:val="0"/>
          <w:numId w:val="1"/>
        </w:numPr>
        <w:kinsoku/>
        <w:wordWrap/>
        <w:overflowPunct/>
        <w:topLinePunct w:val="0"/>
        <w:autoSpaceDE/>
        <w:autoSpaceDN/>
        <w:bidi w:val="0"/>
        <w:adjustRightInd/>
        <w:snapToGrid/>
        <w:spacing w:before="0" w:beforeLines="0" w:after="0" w:afterLines="0" w:line="520" w:lineRule="exact"/>
        <w:ind w:left="0" w:firstLine="560"/>
        <w:textAlignment w:val="auto"/>
        <w:rPr>
          <w:rFonts w:ascii="方正仿宋_GBK" w:eastAsia="方正仿宋_GBK"/>
        </w:rPr>
      </w:pPr>
      <w:r>
        <w:rPr>
          <w:rFonts w:hint="eastAsia" w:ascii="方正仿宋_GBK" w:eastAsia="方正仿宋_GBK"/>
        </w:rPr>
        <w:t>4.2</w:t>
      </w:r>
      <w:r>
        <w:rPr>
          <w:rFonts w:ascii="方正仿宋_GBK" w:eastAsia="方正仿宋_GBK"/>
        </w:rPr>
        <w:t>.1.2</w:t>
      </w:r>
      <w:r>
        <w:rPr>
          <w:rFonts w:hint="eastAsia" w:ascii="方正仿宋_GBK" w:eastAsia="方正仿宋_GBK"/>
        </w:rPr>
        <w:t>、根据《江苏省公路条例》（</w:t>
      </w:r>
      <w:r>
        <w:rPr>
          <w:rFonts w:ascii="方正仿宋_GBK" w:eastAsia="方正仿宋_GBK"/>
        </w:rPr>
        <w:t>2021）第五十</w:t>
      </w:r>
      <w:r>
        <w:rPr>
          <w:rFonts w:hint="eastAsia" w:ascii="方正仿宋_GBK" w:eastAsia="方正仿宋_GBK"/>
        </w:rPr>
        <w:t>二</w:t>
      </w:r>
      <w:r>
        <w:rPr>
          <w:rFonts w:ascii="方正仿宋_GBK" w:eastAsia="方正仿宋_GBK"/>
        </w:rPr>
        <w:t>条</w:t>
      </w:r>
      <w:r>
        <w:rPr>
          <w:rFonts w:hint="eastAsia" w:ascii="方正仿宋_GBK" w:eastAsia="方正仿宋_GBK"/>
        </w:rPr>
        <w:t>规定</w:t>
      </w:r>
      <w:r>
        <w:rPr>
          <w:rFonts w:ascii="方正仿宋_GBK" w:eastAsia="方正仿宋_GBK"/>
        </w:rPr>
        <w:t>，驾驶员管理应符合该要求。</w:t>
      </w:r>
    </w:p>
    <w:p>
      <w:pPr>
        <w:pStyle w:val="11"/>
        <w:pageBreakBefore w:val="0"/>
        <w:widowControl w:val="0"/>
        <w:numPr>
          <w:ilvl w:val="0"/>
          <w:numId w:val="1"/>
        </w:numPr>
        <w:kinsoku/>
        <w:wordWrap/>
        <w:overflowPunct/>
        <w:topLinePunct w:val="0"/>
        <w:autoSpaceDE/>
        <w:autoSpaceDN/>
        <w:bidi w:val="0"/>
        <w:adjustRightInd/>
        <w:snapToGrid/>
        <w:spacing w:before="0" w:beforeLines="0" w:after="0" w:afterLines="0" w:line="520" w:lineRule="exact"/>
        <w:ind w:left="0" w:firstLine="560"/>
        <w:textAlignment w:val="auto"/>
        <w:rPr>
          <w:rFonts w:ascii="方正仿宋_GBK" w:eastAsia="方正仿宋_GBK"/>
        </w:rPr>
      </w:pPr>
      <w:r>
        <w:rPr>
          <w:rFonts w:hint="eastAsia" w:ascii="方正仿宋_GBK" w:eastAsia="方正仿宋_GBK"/>
        </w:rPr>
        <w:t>4</w:t>
      </w:r>
      <w:r>
        <w:rPr>
          <w:rFonts w:ascii="方正仿宋_GBK" w:eastAsia="方正仿宋_GBK"/>
        </w:rPr>
        <w:t>.2.1.4</w:t>
      </w:r>
      <w:r>
        <w:rPr>
          <w:rFonts w:hint="eastAsia" w:ascii="方正仿宋_GBK" w:eastAsia="方正仿宋_GBK"/>
        </w:rPr>
        <w:t>、4</w:t>
      </w:r>
      <w:r>
        <w:rPr>
          <w:rFonts w:ascii="方正仿宋_GBK" w:eastAsia="方正仿宋_GBK"/>
        </w:rPr>
        <w:t>.2.1.5</w:t>
      </w:r>
      <w:bookmarkStart w:id="1" w:name="_Hlk133376235"/>
      <w:r>
        <w:rPr>
          <w:rFonts w:hint="eastAsia" w:ascii="方正仿宋_GBK" w:eastAsia="方正仿宋_GBK"/>
        </w:rPr>
        <w:t>根据《江苏省公路条例》（2021）第五十条规定，驾驶员管理应符合该要求。</w:t>
      </w:r>
      <w:bookmarkEnd w:id="1"/>
    </w:p>
    <w:p>
      <w:pPr>
        <w:pStyle w:val="11"/>
        <w:pageBreakBefore w:val="0"/>
        <w:widowControl w:val="0"/>
        <w:numPr>
          <w:ilvl w:val="0"/>
          <w:numId w:val="1"/>
        </w:numPr>
        <w:kinsoku/>
        <w:wordWrap/>
        <w:overflowPunct/>
        <w:topLinePunct w:val="0"/>
        <w:autoSpaceDE/>
        <w:autoSpaceDN/>
        <w:bidi w:val="0"/>
        <w:adjustRightInd/>
        <w:snapToGrid/>
        <w:spacing w:before="0" w:beforeLines="0" w:after="0" w:afterLines="0" w:line="520" w:lineRule="exact"/>
        <w:ind w:left="0" w:firstLine="560"/>
        <w:textAlignment w:val="auto"/>
        <w:rPr>
          <w:rFonts w:ascii="方正仿宋_GBK" w:eastAsia="方正仿宋_GBK"/>
        </w:rPr>
      </w:pPr>
      <w:r>
        <w:rPr>
          <w:rFonts w:hint="eastAsia" w:ascii="方正仿宋_GBK" w:eastAsia="方正仿宋_GBK"/>
        </w:rPr>
        <w:t>4</w:t>
      </w:r>
      <w:r>
        <w:rPr>
          <w:rFonts w:ascii="方正仿宋_GBK" w:eastAsia="方正仿宋_GBK"/>
        </w:rPr>
        <w:t>.2.2.2</w:t>
      </w:r>
      <w:r>
        <w:rPr>
          <w:rFonts w:hint="eastAsia" w:ascii="方正仿宋_GBK" w:eastAsia="方正仿宋_GBK"/>
        </w:rPr>
        <w:t>根据《中华人民共和国安全生产法》第二十八条和《超限运输车辆行驶公路管理规定》（交通运输部</w:t>
      </w:r>
      <w:r>
        <w:rPr>
          <w:rFonts w:ascii="方正仿宋_GBK" w:eastAsia="方正仿宋_GBK"/>
        </w:rPr>
        <w:t xml:space="preserve"> </w:t>
      </w:r>
      <w:r>
        <w:rPr>
          <w:rFonts w:hint="eastAsia" w:ascii="方正仿宋_GBK" w:eastAsia="方正仿宋_GBK"/>
        </w:rPr>
        <w:t>2021年第12号令）第二十九条的规定，安全生产管理人员应满足此规定。</w:t>
      </w:r>
    </w:p>
    <w:p>
      <w:pPr>
        <w:pStyle w:val="11"/>
        <w:pageBreakBefore w:val="0"/>
        <w:widowControl w:val="0"/>
        <w:numPr>
          <w:ilvl w:val="0"/>
          <w:numId w:val="1"/>
        </w:numPr>
        <w:kinsoku/>
        <w:wordWrap/>
        <w:overflowPunct/>
        <w:topLinePunct w:val="0"/>
        <w:autoSpaceDE/>
        <w:autoSpaceDN/>
        <w:bidi w:val="0"/>
        <w:adjustRightInd/>
        <w:snapToGrid/>
        <w:spacing w:before="0" w:beforeLines="0" w:after="0" w:afterLines="0" w:line="520" w:lineRule="exact"/>
        <w:ind w:left="0" w:firstLine="560"/>
        <w:textAlignment w:val="auto"/>
        <w:rPr>
          <w:rFonts w:ascii="方正仿宋_GBK" w:eastAsia="方正仿宋_GBK"/>
        </w:rPr>
      </w:pPr>
      <w:r>
        <w:rPr>
          <w:rFonts w:hint="eastAsia" w:ascii="方正仿宋_GBK" w:eastAsia="方正仿宋_GBK"/>
        </w:rPr>
        <w:t>4</w:t>
      </w:r>
      <w:r>
        <w:rPr>
          <w:rFonts w:ascii="方正仿宋_GBK" w:eastAsia="方正仿宋_GBK"/>
        </w:rPr>
        <w:t>.3.1</w:t>
      </w:r>
      <w:r>
        <w:rPr>
          <w:rFonts w:hint="eastAsia" w:ascii="方正仿宋_GBK" w:eastAsia="方正仿宋_GBK"/>
        </w:rPr>
        <w:t>根据《江苏省治理公路超限超载运输办法》（江苏省人民政府令第</w:t>
      </w:r>
      <w:r>
        <w:rPr>
          <w:rFonts w:ascii="方正仿宋_GBK" w:eastAsia="方正仿宋_GBK"/>
        </w:rPr>
        <w:t>160号</w:t>
      </w:r>
      <w:r>
        <w:rPr>
          <w:rFonts w:hint="eastAsia" w:ascii="方正仿宋_GBK" w:eastAsia="方正仿宋_GBK"/>
        </w:rPr>
        <w:t>）第十二条第四款规定，货物装载源头单位应满足该要求。</w:t>
      </w:r>
    </w:p>
    <w:p>
      <w:pPr>
        <w:pStyle w:val="11"/>
        <w:pageBreakBefore w:val="0"/>
        <w:widowControl w:val="0"/>
        <w:numPr>
          <w:ilvl w:val="0"/>
          <w:numId w:val="1"/>
        </w:numPr>
        <w:kinsoku/>
        <w:wordWrap/>
        <w:overflowPunct/>
        <w:topLinePunct w:val="0"/>
        <w:autoSpaceDE/>
        <w:autoSpaceDN/>
        <w:bidi w:val="0"/>
        <w:adjustRightInd/>
        <w:snapToGrid/>
        <w:spacing w:before="0" w:beforeLines="0" w:after="0" w:afterLines="0" w:line="520" w:lineRule="exact"/>
        <w:ind w:left="0" w:firstLine="560"/>
        <w:textAlignment w:val="auto"/>
        <w:rPr>
          <w:rFonts w:ascii="方正仿宋_GBK" w:eastAsia="方正仿宋_GBK"/>
        </w:rPr>
      </w:pPr>
      <w:r>
        <w:rPr>
          <w:rFonts w:hint="eastAsia" w:ascii="方正仿宋_GBK" w:eastAsia="方正仿宋_GBK"/>
        </w:rPr>
        <w:t>4</w:t>
      </w:r>
      <w:r>
        <w:rPr>
          <w:rFonts w:ascii="方正仿宋_GBK" w:eastAsia="方正仿宋_GBK"/>
        </w:rPr>
        <w:t>.3.2</w:t>
      </w:r>
      <w:r>
        <w:rPr>
          <w:rFonts w:hint="eastAsia" w:ascii="方正仿宋_GBK" w:eastAsia="方正仿宋_GBK"/>
        </w:rPr>
        <w:t>根据《江苏省治理公路超限超载运输办法》（江苏省人民政府令第</w:t>
      </w:r>
      <w:r>
        <w:rPr>
          <w:rFonts w:ascii="方正仿宋_GBK" w:eastAsia="方正仿宋_GBK"/>
        </w:rPr>
        <w:t>160号</w:t>
      </w:r>
      <w:r>
        <w:rPr>
          <w:rFonts w:hint="eastAsia" w:ascii="方正仿宋_GBK" w:eastAsia="方正仿宋_GBK"/>
        </w:rPr>
        <w:t>）第十二条最后一款规定，</w:t>
      </w:r>
      <w:r>
        <w:rPr>
          <w:rFonts w:ascii="方正仿宋_GBK" w:eastAsia="方正仿宋_GBK"/>
        </w:rPr>
        <w:t>货运运单</w:t>
      </w:r>
      <w:r>
        <w:rPr>
          <w:rFonts w:hint="eastAsia" w:ascii="方正仿宋_GBK" w:eastAsia="方正仿宋_GBK"/>
        </w:rPr>
        <w:t>应满足此规定。</w:t>
      </w:r>
    </w:p>
    <w:p>
      <w:pPr>
        <w:pStyle w:val="11"/>
        <w:pageBreakBefore w:val="0"/>
        <w:widowControl w:val="0"/>
        <w:numPr>
          <w:ilvl w:val="0"/>
          <w:numId w:val="1"/>
        </w:numPr>
        <w:kinsoku/>
        <w:wordWrap/>
        <w:overflowPunct/>
        <w:topLinePunct w:val="0"/>
        <w:autoSpaceDE/>
        <w:autoSpaceDN/>
        <w:bidi w:val="0"/>
        <w:adjustRightInd/>
        <w:snapToGrid/>
        <w:spacing w:before="0" w:beforeLines="0" w:after="0" w:afterLines="0" w:line="520" w:lineRule="exact"/>
        <w:ind w:left="0" w:firstLine="560"/>
        <w:textAlignment w:val="auto"/>
        <w:rPr>
          <w:rFonts w:ascii="方正仿宋_GBK" w:eastAsia="方正仿宋_GBK"/>
        </w:rPr>
      </w:pPr>
      <w:r>
        <w:rPr>
          <w:rFonts w:hint="eastAsia" w:ascii="方正仿宋_GBK" w:eastAsia="方正仿宋_GBK"/>
        </w:rPr>
        <w:t>5</w:t>
      </w:r>
      <w:r>
        <w:rPr>
          <w:rFonts w:ascii="方正仿宋_GBK" w:eastAsia="方正仿宋_GBK"/>
        </w:rPr>
        <w:t>.1.1</w:t>
      </w:r>
      <w:r>
        <w:rPr>
          <w:rFonts w:hint="eastAsia" w:ascii="方正仿宋_GBK" w:eastAsia="方正仿宋_GBK"/>
        </w:rPr>
        <w:t>根据《超限运输车辆行驶公路管理规定》（交通运输部</w:t>
      </w:r>
      <w:r>
        <w:rPr>
          <w:rFonts w:ascii="方正仿宋_GBK" w:eastAsia="方正仿宋_GBK"/>
        </w:rPr>
        <w:t>2021年第12号令</w:t>
      </w:r>
      <w:r>
        <w:rPr>
          <w:rFonts w:hint="eastAsia" w:ascii="方正仿宋_GBK" w:eastAsia="方正仿宋_GBK"/>
        </w:rPr>
        <w:t>）</w:t>
      </w:r>
      <w:r>
        <w:rPr>
          <w:rFonts w:ascii="方正仿宋_GBK" w:eastAsia="方正仿宋_GBK"/>
        </w:rPr>
        <w:t>第七条</w:t>
      </w:r>
      <w:r>
        <w:rPr>
          <w:rFonts w:hint="eastAsia" w:ascii="方正仿宋_GBK" w:eastAsia="方正仿宋_GBK"/>
        </w:rPr>
        <w:t>的规定，大件运输的托运人应当委托具有大型物件运输经营资质的道路运输经营者承运，并在运单上如实填写托运货物的名称、规格、重量等相关信息。故货物装载源头单位应满足此规定，结合《</w:t>
      </w:r>
      <w:r>
        <w:rPr>
          <w:rFonts w:ascii="方正仿宋_GBK" w:eastAsia="方正仿宋_GBK"/>
        </w:rPr>
        <w:t>江苏省交通运输厅关于进一步加强大件运输许可管理工作的通知</w:t>
      </w:r>
      <w:r>
        <w:rPr>
          <w:rFonts w:hint="eastAsia" w:ascii="方正仿宋_GBK" w:eastAsia="方正仿宋_GBK"/>
        </w:rPr>
        <w:t>》（苏交执法函〔</w:t>
      </w:r>
      <w:r>
        <w:rPr>
          <w:rFonts w:ascii="方正仿宋_GBK" w:eastAsia="方正仿宋_GBK"/>
        </w:rPr>
        <w:t>2022〕64号</w:t>
      </w:r>
      <w:r>
        <w:rPr>
          <w:rFonts w:hint="eastAsia" w:ascii="方正仿宋_GBK" w:eastAsia="方正仿宋_GBK"/>
        </w:rPr>
        <w:t>）文件</w:t>
      </w:r>
      <w:r>
        <w:rPr>
          <w:rFonts w:ascii="方正仿宋_GBK" w:eastAsia="方正仿宋_GBK"/>
        </w:rPr>
        <w:t>对我省辖区内起运的Ⅲ类</w:t>
      </w:r>
      <w:r>
        <w:rPr>
          <w:rFonts w:hint="eastAsia" w:ascii="方正仿宋_GBK" w:eastAsia="方正仿宋_GBK"/>
        </w:rPr>
        <w:t>大件运输车辆的管理规定，故</w:t>
      </w:r>
      <w:r>
        <w:rPr>
          <w:rFonts w:ascii="方正仿宋_GBK" w:eastAsia="方正仿宋_GBK"/>
        </w:rPr>
        <w:t>Ⅲ类</w:t>
      </w:r>
      <w:r>
        <w:rPr>
          <w:rFonts w:hint="eastAsia" w:ascii="方正仿宋_GBK" w:eastAsia="方正仿宋_GBK"/>
        </w:rPr>
        <w:t>大件运输车辆应制作《大型不可解体物品调运单》或《江苏省道路货运运单》（大型不可解体物品）。</w:t>
      </w:r>
    </w:p>
    <w:p>
      <w:pPr>
        <w:pStyle w:val="11"/>
        <w:pageBreakBefore w:val="0"/>
        <w:widowControl w:val="0"/>
        <w:numPr>
          <w:ilvl w:val="0"/>
          <w:numId w:val="1"/>
        </w:numPr>
        <w:kinsoku/>
        <w:wordWrap/>
        <w:overflowPunct/>
        <w:topLinePunct w:val="0"/>
        <w:autoSpaceDE/>
        <w:autoSpaceDN/>
        <w:bidi w:val="0"/>
        <w:adjustRightInd/>
        <w:snapToGrid/>
        <w:spacing w:before="0" w:beforeLines="0" w:after="0" w:afterLines="0" w:line="520" w:lineRule="exact"/>
        <w:ind w:left="0" w:firstLine="560"/>
        <w:textAlignment w:val="auto"/>
        <w:rPr>
          <w:rFonts w:ascii="方正仿宋_GBK" w:eastAsia="方正仿宋_GBK"/>
        </w:rPr>
      </w:pPr>
      <w:r>
        <w:rPr>
          <w:rFonts w:hint="eastAsia" w:ascii="方正仿宋_GBK" w:eastAsia="方正仿宋_GBK"/>
        </w:rPr>
        <w:t>5</w:t>
      </w:r>
      <w:r>
        <w:rPr>
          <w:rFonts w:ascii="方正仿宋_GBK" w:eastAsia="方正仿宋_GBK"/>
        </w:rPr>
        <w:t>.2.1</w:t>
      </w:r>
      <w:r>
        <w:rPr>
          <w:rFonts w:hint="eastAsia" w:ascii="方正仿宋_GBK" w:eastAsia="方正仿宋_GBK"/>
        </w:rPr>
        <w:t>、5</w:t>
      </w:r>
      <w:r>
        <w:rPr>
          <w:rFonts w:ascii="方正仿宋_GBK" w:eastAsia="方正仿宋_GBK"/>
        </w:rPr>
        <w:t>.2.2</w:t>
      </w:r>
      <w:bookmarkStart w:id="2" w:name="_Hlk133317562"/>
      <w:r>
        <w:rPr>
          <w:rFonts w:hint="eastAsia" w:ascii="方正仿宋_GBK" w:eastAsia="方正仿宋_GBK"/>
        </w:rPr>
        <w:t>根据《江苏省治理公路超限超载运输办法》（江苏省人民政府令第</w:t>
      </w:r>
      <w:r>
        <w:rPr>
          <w:rFonts w:ascii="方正仿宋_GBK" w:eastAsia="方正仿宋_GBK"/>
        </w:rPr>
        <w:t>160号</w:t>
      </w:r>
      <w:r>
        <w:rPr>
          <w:rFonts w:hint="eastAsia" w:ascii="方正仿宋_GBK" w:eastAsia="方正仿宋_GBK"/>
        </w:rPr>
        <w:t>）第十二条</w:t>
      </w:r>
      <w:bookmarkEnd w:id="2"/>
      <w:r>
        <w:rPr>
          <w:rFonts w:hint="eastAsia" w:ascii="方正仿宋_GBK" w:eastAsia="方正仿宋_GBK"/>
        </w:rPr>
        <w:t>对重点货物装载源头单位应当安装称重监控设施，确保正常使用，并向相关监管部门实时传输称重监控记录。</w:t>
      </w:r>
    </w:p>
    <w:p>
      <w:pPr>
        <w:pStyle w:val="11"/>
        <w:pageBreakBefore w:val="0"/>
        <w:widowControl w:val="0"/>
        <w:numPr>
          <w:ilvl w:val="0"/>
          <w:numId w:val="1"/>
        </w:numPr>
        <w:kinsoku/>
        <w:wordWrap/>
        <w:overflowPunct/>
        <w:topLinePunct w:val="0"/>
        <w:autoSpaceDE/>
        <w:autoSpaceDN/>
        <w:bidi w:val="0"/>
        <w:adjustRightInd/>
        <w:snapToGrid/>
        <w:spacing w:before="0" w:beforeLines="0" w:after="0" w:afterLines="0" w:line="520" w:lineRule="exact"/>
        <w:ind w:left="0" w:firstLine="560"/>
        <w:textAlignment w:val="auto"/>
        <w:rPr>
          <w:rFonts w:ascii="方正仿宋_GBK" w:eastAsia="方正仿宋_GBK"/>
        </w:rPr>
      </w:pPr>
      <w:r>
        <w:rPr>
          <w:rFonts w:hint="eastAsia" w:ascii="方正仿宋_GBK" w:eastAsia="方正仿宋_GBK"/>
        </w:rPr>
        <w:t>5</w:t>
      </w:r>
      <w:r>
        <w:rPr>
          <w:rFonts w:ascii="方正仿宋_GBK" w:eastAsia="方正仿宋_GBK"/>
        </w:rPr>
        <w:t>.2.4</w:t>
      </w:r>
      <w:r>
        <w:rPr>
          <w:rFonts w:hint="eastAsia" w:ascii="方正仿宋_GBK" w:eastAsia="方正仿宋_GBK"/>
        </w:rPr>
        <w:t>根据市治超办关于印发《南通市港口码头、货运站场、重点货运源头单位、长江汽渡及卸驳载场所治超技术要求》的通知（市治超办〔2020〕21号）文件中对称重</w:t>
      </w:r>
      <w:r>
        <w:rPr>
          <w:rFonts w:ascii="方正仿宋_GBK" w:eastAsia="方正仿宋_GBK"/>
        </w:rPr>
        <w:t>检测数据</w:t>
      </w:r>
      <w:r>
        <w:rPr>
          <w:rFonts w:hint="eastAsia" w:ascii="方正仿宋_GBK" w:eastAsia="方正仿宋_GBK"/>
        </w:rPr>
        <w:t>保存时间做了规定，重点货物装载源头单位称重监控管理应符合该规定。</w:t>
      </w:r>
    </w:p>
    <w:p>
      <w:pPr>
        <w:pStyle w:val="2"/>
        <w:pageBreakBefore w:val="0"/>
        <w:widowControl w:val="0"/>
        <w:numPr>
          <w:numId w:val="0"/>
        </w:numPr>
        <w:kinsoku/>
        <w:wordWrap/>
        <w:overflowPunct/>
        <w:topLinePunct w:val="0"/>
        <w:autoSpaceDE/>
        <w:autoSpaceDN/>
        <w:bidi w:val="0"/>
        <w:adjustRightInd/>
        <w:snapToGrid/>
        <w:spacing w:before="0" w:beforeLines="0" w:after="0" w:afterLines="0" w:line="520" w:lineRule="exact"/>
        <w:ind w:leftChars="0" w:firstLine="643" w:firstLineChars="200"/>
        <w:textAlignment w:val="auto"/>
        <w:rPr>
          <w:rFonts w:ascii="方正黑体_GBK"/>
          <w:sz w:val="32"/>
          <w:szCs w:val="48"/>
        </w:rPr>
      </w:pPr>
      <w:r>
        <w:rPr>
          <w:rFonts w:hint="eastAsia" w:ascii="方正黑体_GBK"/>
          <w:sz w:val="32"/>
          <w:szCs w:val="48"/>
          <w:lang w:eastAsia="zh-CN"/>
        </w:rPr>
        <w:t>四、</w:t>
      </w:r>
      <w:r>
        <w:rPr>
          <w:rFonts w:ascii="方正黑体_GBK"/>
          <w:sz w:val="32"/>
          <w:szCs w:val="48"/>
        </w:rPr>
        <w:t>重大意见分歧的处理依据和结果</w:t>
      </w:r>
    </w:p>
    <w:p>
      <w:pPr>
        <w:pageBreakBefore w:val="0"/>
        <w:widowControl w:val="0"/>
        <w:kinsoku/>
        <w:wordWrap/>
        <w:overflowPunct/>
        <w:topLinePunct w:val="0"/>
        <w:autoSpaceDE/>
        <w:autoSpaceDN/>
        <w:bidi w:val="0"/>
        <w:adjustRightInd/>
        <w:snapToGrid/>
        <w:spacing w:before="0" w:beforeLines="0" w:after="0" w:afterLines="0" w:line="520" w:lineRule="exact"/>
        <w:ind w:firstLine="560"/>
        <w:textAlignment w:val="auto"/>
      </w:pPr>
      <w:r>
        <w:rPr>
          <w:rFonts w:hint="eastAsia"/>
        </w:rPr>
        <w:t>本标准编制过程中未产生重大意见分歧。</w:t>
      </w:r>
    </w:p>
    <w:p>
      <w:pPr>
        <w:pStyle w:val="2"/>
        <w:pageBreakBefore w:val="0"/>
        <w:widowControl w:val="0"/>
        <w:numPr>
          <w:numId w:val="0"/>
        </w:numPr>
        <w:kinsoku/>
        <w:wordWrap/>
        <w:overflowPunct/>
        <w:topLinePunct w:val="0"/>
        <w:autoSpaceDE/>
        <w:autoSpaceDN/>
        <w:bidi w:val="0"/>
        <w:adjustRightInd/>
        <w:snapToGrid/>
        <w:spacing w:before="0" w:beforeLines="0" w:after="0" w:afterLines="0" w:line="520" w:lineRule="exact"/>
        <w:ind w:leftChars="0" w:firstLine="643" w:firstLineChars="200"/>
        <w:textAlignment w:val="auto"/>
        <w:rPr>
          <w:rFonts w:ascii="方正黑体_GBK"/>
          <w:sz w:val="32"/>
          <w:szCs w:val="48"/>
        </w:rPr>
      </w:pPr>
      <w:r>
        <w:rPr>
          <w:rFonts w:hint="eastAsia" w:ascii="方正黑体_GBK"/>
          <w:sz w:val="32"/>
          <w:szCs w:val="48"/>
          <w:lang w:eastAsia="zh-CN"/>
        </w:rPr>
        <w:t>五、</w:t>
      </w:r>
      <w:r>
        <w:rPr>
          <w:rFonts w:ascii="方正黑体_GBK"/>
          <w:sz w:val="32"/>
          <w:szCs w:val="48"/>
        </w:rPr>
        <w:t>与相关法律法规和标准的关系</w:t>
      </w:r>
    </w:p>
    <w:p>
      <w:pPr>
        <w:pageBreakBefore w:val="0"/>
        <w:widowControl w:val="0"/>
        <w:kinsoku/>
        <w:wordWrap/>
        <w:overflowPunct/>
        <w:topLinePunct w:val="0"/>
        <w:autoSpaceDE/>
        <w:autoSpaceDN/>
        <w:bidi w:val="0"/>
        <w:adjustRightInd/>
        <w:snapToGrid/>
        <w:spacing w:before="0" w:beforeLines="0" w:after="0" w:afterLines="0" w:line="520" w:lineRule="exact"/>
        <w:ind w:firstLine="560"/>
        <w:textAlignment w:val="auto"/>
      </w:pPr>
      <w:r>
        <w:rPr>
          <w:rFonts w:hint="eastAsia"/>
        </w:rPr>
        <w:t>经初步核查，《道路货物装载源头单位超限超载安全管理规范》不违反相关法律法规及强制性标准，不存在相关国家标准、行业标准。</w:t>
      </w:r>
    </w:p>
    <w:p>
      <w:pPr>
        <w:pageBreakBefore w:val="0"/>
        <w:widowControl w:val="0"/>
        <w:kinsoku/>
        <w:wordWrap/>
        <w:overflowPunct/>
        <w:topLinePunct w:val="0"/>
        <w:autoSpaceDE/>
        <w:autoSpaceDN/>
        <w:bidi w:val="0"/>
        <w:adjustRightInd/>
        <w:snapToGrid/>
        <w:spacing w:before="0" w:beforeLines="0" w:after="0" w:afterLines="0" w:line="520" w:lineRule="exact"/>
        <w:ind w:firstLine="560"/>
        <w:textAlignment w:val="auto"/>
      </w:pPr>
      <w:r>
        <w:rPr>
          <w:rFonts w:hint="eastAsia"/>
        </w:rPr>
        <w:t>本标准涉及到的法律、法规、规范性文件依据包括《中华人民共和国安全生产法》《超限运输车辆行驶公路管理规定》《江苏省公路条例》《交通运输部</w:t>
      </w:r>
      <w:r>
        <w:t xml:space="preserve"> 公安部关于治理车辆超限超载联合执法常态化制度化工作的实施意见（试行）</w:t>
      </w:r>
      <w:r>
        <w:rPr>
          <w:rFonts w:hint="eastAsia"/>
        </w:rPr>
        <w:t>》</w:t>
      </w:r>
      <w:r>
        <w:rPr>
          <w:rFonts w:hint="eastAsia" w:ascii="方正仿宋_GBK"/>
        </w:rPr>
        <w:t>《江苏省治理公路超限超载运输办法》</w:t>
      </w:r>
      <w:r>
        <w:rPr>
          <w:rFonts w:hint="eastAsia"/>
        </w:rPr>
        <w:t>《省治理车辆超限超载工作领导小组办公室关于加强道路货物装载源头超限超载治理及实施货运运单制度的指导意见》《南通市道路货物装载源头超限超载管理办法》等。</w:t>
      </w:r>
    </w:p>
    <w:p>
      <w:pPr>
        <w:pStyle w:val="2"/>
        <w:pageBreakBefore w:val="0"/>
        <w:widowControl w:val="0"/>
        <w:numPr>
          <w:numId w:val="0"/>
        </w:numPr>
        <w:kinsoku/>
        <w:wordWrap/>
        <w:overflowPunct/>
        <w:topLinePunct w:val="0"/>
        <w:autoSpaceDE/>
        <w:autoSpaceDN/>
        <w:bidi w:val="0"/>
        <w:adjustRightInd/>
        <w:snapToGrid/>
        <w:spacing w:before="0" w:beforeLines="0" w:after="0" w:afterLines="0" w:line="520" w:lineRule="exact"/>
        <w:ind w:leftChars="0" w:firstLine="643" w:firstLineChars="200"/>
        <w:textAlignment w:val="auto"/>
        <w:rPr>
          <w:rFonts w:ascii="方正黑体_GBK"/>
          <w:sz w:val="32"/>
          <w:szCs w:val="48"/>
        </w:rPr>
      </w:pPr>
      <w:bookmarkStart w:id="3" w:name="_GoBack"/>
      <w:bookmarkEnd w:id="3"/>
      <w:r>
        <w:rPr>
          <w:rFonts w:hint="eastAsia" w:ascii="方正黑体_GBK"/>
          <w:sz w:val="32"/>
          <w:szCs w:val="48"/>
          <w:lang w:eastAsia="zh-CN"/>
        </w:rPr>
        <w:t>六、</w:t>
      </w:r>
      <w:r>
        <w:rPr>
          <w:rFonts w:ascii="方正黑体_GBK"/>
          <w:sz w:val="32"/>
          <w:szCs w:val="48"/>
        </w:rPr>
        <w:t>实施推广建议</w:t>
      </w:r>
    </w:p>
    <w:p>
      <w:pPr>
        <w:pageBreakBefore w:val="0"/>
        <w:widowControl w:val="0"/>
        <w:kinsoku/>
        <w:wordWrap/>
        <w:overflowPunct/>
        <w:topLinePunct w:val="0"/>
        <w:autoSpaceDE/>
        <w:autoSpaceDN/>
        <w:bidi w:val="0"/>
        <w:adjustRightInd/>
        <w:snapToGrid/>
        <w:spacing w:before="0" w:beforeLines="0" w:after="0" w:afterLines="0" w:line="520" w:lineRule="exact"/>
        <w:ind w:firstLine="560"/>
        <w:textAlignment w:val="auto"/>
      </w:pPr>
      <w:r>
        <w:rPr>
          <w:rFonts w:hint="eastAsia"/>
        </w:rPr>
        <w:t>本标准编制完成后，拟定与</w:t>
      </w:r>
      <w:r>
        <w:t>2023年</w:t>
      </w:r>
      <w:r>
        <w:rPr>
          <w:rFonts w:hint="eastAsia"/>
        </w:rPr>
        <w:t>二</w:t>
      </w:r>
      <w:r>
        <w:t>季度集中组织一次标准宣贯实施工作，并在2023年上半年底检查各企业指南使用情况，2023年下半年针对使用情况和问题进行二次宣贯解答。根据各类企业的个性化需要，同时提供上门培训宣贯服务。力争把本标准在全市范围内有效实施推广。</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120" w:after="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120"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120" w:after="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560"/>
      </w:pPr>
      <w:r>
        <w:separator/>
      </w:r>
    </w:p>
  </w:footnote>
  <w:footnote w:type="continuationSeparator" w:id="1">
    <w:p>
      <w:pPr>
        <w:spacing w:before="0" w:after="0"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spacing w:before="120" w:after="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after="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E4593E"/>
    <w:multiLevelType w:val="multilevel"/>
    <w:tmpl w:val="0FE4593E"/>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0MzA4ZDY0NWQ1NjE4YTA0OWMwYzdjZDE1YzljMzMifQ=="/>
  </w:docVars>
  <w:rsids>
    <w:rsidRoot w:val="005759C2"/>
    <w:rsid w:val="00001016"/>
    <w:rsid w:val="00003678"/>
    <w:rsid w:val="00005024"/>
    <w:rsid w:val="0001282A"/>
    <w:rsid w:val="00012DC9"/>
    <w:rsid w:val="00016346"/>
    <w:rsid w:val="00024215"/>
    <w:rsid w:val="00032F10"/>
    <w:rsid w:val="00043387"/>
    <w:rsid w:val="00044E3A"/>
    <w:rsid w:val="00054516"/>
    <w:rsid w:val="0007216C"/>
    <w:rsid w:val="000800F4"/>
    <w:rsid w:val="00084388"/>
    <w:rsid w:val="000907DF"/>
    <w:rsid w:val="000954FA"/>
    <w:rsid w:val="000A6C33"/>
    <w:rsid w:val="000B31A9"/>
    <w:rsid w:val="000C5500"/>
    <w:rsid w:val="000C6D54"/>
    <w:rsid w:val="000E204B"/>
    <w:rsid w:val="000E6002"/>
    <w:rsid w:val="000F4E46"/>
    <w:rsid w:val="00100E00"/>
    <w:rsid w:val="001033B1"/>
    <w:rsid w:val="00115D70"/>
    <w:rsid w:val="00127D58"/>
    <w:rsid w:val="0014339B"/>
    <w:rsid w:val="00147575"/>
    <w:rsid w:val="00153119"/>
    <w:rsid w:val="00164186"/>
    <w:rsid w:val="001657F6"/>
    <w:rsid w:val="001728EC"/>
    <w:rsid w:val="00194D45"/>
    <w:rsid w:val="001A1308"/>
    <w:rsid w:val="001B357F"/>
    <w:rsid w:val="001B6D05"/>
    <w:rsid w:val="001C71F4"/>
    <w:rsid w:val="001C72BF"/>
    <w:rsid w:val="001D3F25"/>
    <w:rsid w:val="001E35D7"/>
    <w:rsid w:val="001E4192"/>
    <w:rsid w:val="001E685E"/>
    <w:rsid w:val="001F3787"/>
    <w:rsid w:val="00201514"/>
    <w:rsid w:val="0021464D"/>
    <w:rsid w:val="00222982"/>
    <w:rsid w:val="00225AB6"/>
    <w:rsid w:val="00242EBC"/>
    <w:rsid w:val="002507ED"/>
    <w:rsid w:val="0025124C"/>
    <w:rsid w:val="002C5FF4"/>
    <w:rsid w:val="002D58C6"/>
    <w:rsid w:val="002E0005"/>
    <w:rsid w:val="002F0D65"/>
    <w:rsid w:val="00303382"/>
    <w:rsid w:val="00307F5D"/>
    <w:rsid w:val="00315D53"/>
    <w:rsid w:val="00320753"/>
    <w:rsid w:val="003413FB"/>
    <w:rsid w:val="00350EB5"/>
    <w:rsid w:val="00351E72"/>
    <w:rsid w:val="00360EFA"/>
    <w:rsid w:val="003679F4"/>
    <w:rsid w:val="00367D1E"/>
    <w:rsid w:val="00375BCB"/>
    <w:rsid w:val="0037741B"/>
    <w:rsid w:val="003A193A"/>
    <w:rsid w:val="003A67EC"/>
    <w:rsid w:val="003B4535"/>
    <w:rsid w:val="003B4674"/>
    <w:rsid w:val="003B5B30"/>
    <w:rsid w:val="003C5344"/>
    <w:rsid w:val="003D0F3A"/>
    <w:rsid w:val="003E4138"/>
    <w:rsid w:val="00405944"/>
    <w:rsid w:val="00406D93"/>
    <w:rsid w:val="0043058B"/>
    <w:rsid w:val="004318AA"/>
    <w:rsid w:val="0043264B"/>
    <w:rsid w:val="00443261"/>
    <w:rsid w:val="0044433B"/>
    <w:rsid w:val="004459BB"/>
    <w:rsid w:val="004473D4"/>
    <w:rsid w:val="004517DD"/>
    <w:rsid w:val="00455238"/>
    <w:rsid w:val="00463288"/>
    <w:rsid w:val="00466C35"/>
    <w:rsid w:val="00471393"/>
    <w:rsid w:val="0048025F"/>
    <w:rsid w:val="004810C4"/>
    <w:rsid w:val="00482277"/>
    <w:rsid w:val="004904F1"/>
    <w:rsid w:val="004A2839"/>
    <w:rsid w:val="004A6E88"/>
    <w:rsid w:val="004B54DF"/>
    <w:rsid w:val="004C14B8"/>
    <w:rsid w:val="004C72C1"/>
    <w:rsid w:val="004C7711"/>
    <w:rsid w:val="004E0412"/>
    <w:rsid w:val="004F222C"/>
    <w:rsid w:val="004F25E5"/>
    <w:rsid w:val="005012FB"/>
    <w:rsid w:val="00504528"/>
    <w:rsid w:val="00510F5D"/>
    <w:rsid w:val="00512BED"/>
    <w:rsid w:val="00513A2D"/>
    <w:rsid w:val="00514D91"/>
    <w:rsid w:val="005162EF"/>
    <w:rsid w:val="00521635"/>
    <w:rsid w:val="0052489E"/>
    <w:rsid w:val="00525512"/>
    <w:rsid w:val="00544D27"/>
    <w:rsid w:val="00553259"/>
    <w:rsid w:val="00553403"/>
    <w:rsid w:val="005557B7"/>
    <w:rsid w:val="00555D6B"/>
    <w:rsid w:val="005605F5"/>
    <w:rsid w:val="00563444"/>
    <w:rsid w:val="00570BBD"/>
    <w:rsid w:val="005759C2"/>
    <w:rsid w:val="005A5063"/>
    <w:rsid w:val="005B2061"/>
    <w:rsid w:val="005B74FF"/>
    <w:rsid w:val="005C037C"/>
    <w:rsid w:val="005C3527"/>
    <w:rsid w:val="005D433F"/>
    <w:rsid w:val="005E0B12"/>
    <w:rsid w:val="005E2312"/>
    <w:rsid w:val="005E2AD6"/>
    <w:rsid w:val="005E2B38"/>
    <w:rsid w:val="005E4272"/>
    <w:rsid w:val="005E4F5A"/>
    <w:rsid w:val="005F5C1B"/>
    <w:rsid w:val="006116F1"/>
    <w:rsid w:val="00620910"/>
    <w:rsid w:val="00621E22"/>
    <w:rsid w:val="00627AD4"/>
    <w:rsid w:val="00627D18"/>
    <w:rsid w:val="00630A9F"/>
    <w:rsid w:val="00644E76"/>
    <w:rsid w:val="00655B92"/>
    <w:rsid w:val="00662F95"/>
    <w:rsid w:val="00671BA8"/>
    <w:rsid w:val="00675694"/>
    <w:rsid w:val="00676FF1"/>
    <w:rsid w:val="00680762"/>
    <w:rsid w:val="00684CFC"/>
    <w:rsid w:val="006858FA"/>
    <w:rsid w:val="00686273"/>
    <w:rsid w:val="00694C27"/>
    <w:rsid w:val="006B413F"/>
    <w:rsid w:val="006C1C0B"/>
    <w:rsid w:val="006E23AC"/>
    <w:rsid w:val="006E3898"/>
    <w:rsid w:val="007005D6"/>
    <w:rsid w:val="00720612"/>
    <w:rsid w:val="007209B2"/>
    <w:rsid w:val="007215EC"/>
    <w:rsid w:val="00723452"/>
    <w:rsid w:val="00723C00"/>
    <w:rsid w:val="00741AAD"/>
    <w:rsid w:val="007502B4"/>
    <w:rsid w:val="00770CFE"/>
    <w:rsid w:val="00775420"/>
    <w:rsid w:val="00780F1A"/>
    <w:rsid w:val="00786A26"/>
    <w:rsid w:val="00795C31"/>
    <w:rsid w:val="00797F1B"/>
    <w:rsid w:val="007A2AE4"/>
    <w:rsid w:val="007A44C4"/>
    <w:rsid w:val="007B30C5"/>
    <w:rsid w:val="007B5047"/>
    <w:rsid w:val="007C0922"/>
    <w:rsid w:val="007D2280"/>
    <w:rsid w:val="007D55F7"/>
    <w:rsid w:val="007F1B42"/>
    <w:rsid w:val="007F2103"/>
    <w:rsid w:val="007F3D89"/>
    <w:rsid w:val="007F4728"/>
    <w:rsid w:val="0080040F"/>
    <w:rsid w:val="00801158"/>
    <w:rsid w:val="00810D5F"/>
    <w:rsid w:val="00821808"/>
    <w:rsid w:val="00840CFA"/>
    <w:rsid w:val="008517C5"/>
    <w:rsid w:val="0085196C"/>
    <w:rsid w:val="00854C1A"/>
    <w:rsid w:val="00855667"/>
    <w:rsid w:val="00866F90"/>
    <w:rsid w:val="0088417D"/>
    <w:rsid w:val="00893B7E"/>
    <w:rsid w:val="008A7CB4"/>
    <w:rsid w:val="008C461C"/>
    <w:rsid w:val="008C4B7F"/>
    <w:rsid w:val="008C7B14"/>
    <w:rsid w:val="008D3903"/>
    <w:rsid w:val="008E4455"/>
    <w:rsid w:val="008E5AAB"/>
    <w:rsid w:val="00900CAE"/>
    <w:rsid w:val="00911986"/>
    <w:rsid w:val="00935519"/>
    <w:rsid w:val="009414A5"/>
    <w:rsid w:val="00956BB0"/>
    <w:rsid w:val="00974233"/>
    <w:rsid w:val="009862FD"/>
    <w:rsid w:val="009B23ED"/>
    <w:rsid w:val="00A03DC2"/>
    <w:rsid w:val="00A0577E"/>
    <w:rsid w:val="00A10709"/>
    <w:rsid w:val="00A417E1"/>
    <w:rsid w:val="00A5348D"/>
    <w:rsid w:val="00A54F60"/>
    <w:rsid w:val="00A5758E"/>
    <w:rsid w:val="00A60F53"/>
    <w:rsid w:val="00A6501A"/>
    <w:rsid w:val="00A76A27"/>
    <w:rsid w:val="00A90BE4"/>
    <w:rsid w:val="00A94FBE"/>
    <w:rsid w:val="00A96982"/>
    <w:rsid w:val="00AA1056"/>
    <w:rsid w:val="00AA6F2E"/>
    <w:rsid w:val="00AB44AD"/>
    <w:rsid w:val="00AB44ED"/>
    <w:rsid w:val="00AC0443"/>
    <w:rsid w:val="00AC182E"/>
    <w:rsid w:val="00AC456A"/>
    <w:rsid w:val="00AC675E"/>
    <w:rsid w:val="00AD5CAC"/>
    <w:rsid w:val="00AD72B8"/>
    <w:rsid w:val="00AE6A63"/>
    <w:rsid w:val="00AF0CEF"/>
    <w:rsid w:val="00AF3777"/>
    <w:rsid w:val="00B00399"/>
    <w:rsid w:val="00B01645"/>
    <w:rsid w:val="00B03227"/>
    <w:rsid w:val="00B03EE7"/>
    <w:rsid w:val="00B170A8"/>
    <w:rsid w:val="00B25BCC"/>
    <w:rsid w:val="00B273CF"/>
    <w:rsid w:val="00B27EA0"/>
    <w:rsid w:val="00B37774"/>
    <w:rsid w:val="00B642E0"/>
    <w:rsid w:val="00B73530"/>
    <w:rsid w:val="00B824FA"/>
    <w:rsid w:val="00B849E7"/>
    <w:rsid w:val="00B91D05"/>
    <w:rsid w:val="00BA598F"/>
    <w:rsid w:val="00BC5289"/>
    <w:rsid w:val="00BD24F9"/>
    <w:rsid w:val="00BD5D3C"/>
    <w:rsid w:val="00BD674C"/>
    <w:rsid w:val="00BD6E27"/>
    <w:rsid w:val="00BE0652"/>
    <w:rsid w:val="00C22DC3"/>
    <w:rsid w:val="00C252BF"/>
    <w:rsid w:val="00C26D44"/>
    <w:rsid w:val="00C4191D"/>
    <w:rsid w:val="00C50161"/>
    <w:rsid w:val="00C638DF"/>
    <w:rsid w:val="00C64A36"/>
    <w:rsid w:val="00C66165"/>
    <w:rsid w:val="00C71252"/>
    <w:rsid w:val="00C71712"/>
    <w:rsid w:val="00C7288E"/>
    <w:rsid w:val="00C807E9"/>
    <w:rsid w:val="00C944CD"/>
    <w:rsid w:val="00CB22AF"/>
    <w:rsid w:val="00CB511A"/>
    <w:rsid w:val="00CC05FE"/>
    <w:rsid w:val="00CD1758"/>
    <w:rsid w:val="00CD1E1E"/>
    <w:rsid w:val="00CD6913"/>
    <w:rsid w:val="00CE26D3"/>
    <w:rsid w:val="00CE2BF1"/>
    <w:rsid w:val="00CE3CFC"/>
    <w:rsid w:val="00CE6306"/>
    <w:rsid w:val="00CF1ED6"/>
    <w:rsid w:val="00CF2528"/>
    <w:rsid w:val="00CF2A20"/>
    <w:rsid w:val="00D12FC0"/>
    <w:rsid w:val="00D311B1"/>
    <w:rsid w:val="00D42A13"/>
    <w:rsid w:val="00D4332A"/>
    <w:rsid w:val="00D730CE"/>
    <w:rsid w:val="00D73596"/>
    <w:rsid w:val="00D77E92"/>
    <w:rsid w:val="00D85D39"/>
    <w:rsid w:val="00D86349"/>
    <w:rsid w:val="00DA2F73"/>
    <w:rsid w:val="00DA41A6"/>
    <w:rsid w:val="00DA5CA4"/>
    <w:rsid w:val="00DB0328"/>
    <w:rsid w:val="00DB08B8"/>
    <w:rsid w:val="00DC288B"/>
    <w:rsid w:val="00DD607B"/>
    <w:rsid w:val="00DE6298"/>
    <w:rsid w:val="00E14400"/>
    <w:rsid w:val="00E2307A"/>
    <w:rsid w:val="00E24FF4"/>
    <w:rsid w:val="00E322B2"/>
    <w:rsid w:val="00E3729F"/>
    <w:rsid w:val="00E52C4F"/>
    <w:rsid w:val="00E717F8"/>
    <w:rsid w:val="00E72EF0"/>
    <w:rsid w:val="00E72EFC"/>
    <w:rsid w:val="00E76CA3"/>
    <w:rsid w:val="00E80857"/>
    <w:rsid w:val="00E80B6A"/>
    <w:rsid w:val="00E82A83"/>
    <w:rsid w:val="00E9648B"/>
    <w:rsid w:val="00EA1D03"/>
    <w:rsid w:val="00EB1DD4"/>
    <w:rsid w:val="00ED1022"/>
    <w:rsid w:val="00ED3036"/>
    <w:rsid w:val="00F015AC"/>
    <w:rsid w:val="00F222EA"/>
    <w:rsid w:val="00F256EF"/>
    <w:rsid w:val="00F34D9F"/>
    <w:rsid w:val="00F364A7"/>
    <w:rsid w:val="00F41306"/>
    <w:rsid w:val="00F44711"/>
    <w:rsid w:val="00F65DA6"/>
    <w:rsid w:val="00F74CED"/>
    <w:rsid w:val="00F7616C"/>
    <w:rsid w:val="00FB6895"/>
    <w:rsid w:val="00FC0980"/>
    <w:rsid w:val="00FC3074"/>
    <w:rsid w:val="00FC4FAC"/>
    <w:rsid w:val="00FC7A75"/>
    <w:rsid w:val="00FD5E77"/>
    <w:rsid w:val="00FD6CDD"/>
    <w:rsid w:val="00FE54FB"/>
    <w:rsid w:val="00FE55C6"/>
    <w:rsid w:val="00FE6856"/>
    <w:rsid w:val="00FF18EF"/>
    <w:rsid w:val="18697B91"/>
    <w:rsid w:val="307D0225"/>
    <w:rsid w:val="47502EF2"/>
    <w:rsid w:val="754C6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50" w:beforeLines="50" w:after="50" w:afterLines="50" w:line="360" w:lineRule="auto"/>
      <w:ind w:firstLine="200" w:firstLineChars="200"/>
      <w:jc w:val="both"/>
    </w:pPr>
    <w:rPr>
      <w:rFonts w:eastAsia="方正仿宋_GBK" w:asciiTheme="minorHAnsi" w:hAnsiTheme="minorHAnsi" w:cstheme="minorBidi"/>
      <w:kern w:val="2"/>
      <w:sz w:val="28"/>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rFonts w:eastAsia="方正黑体_GBK"/>
      <w:b/>
      <w:bCs/>
      <w:kern w:val="44"/>
      <w:szCs w:val="44"/>
    </w:rPr>
  </w:style>
  <w:style w:type="paragraph" w:styleId="3">
    <w:name w:val="heading 2"/>
    <w:basedOn w:val="1"/>
    <w:next w:val="1"/>
    <w:link w:val="13"/>
    <w:semiHidden/>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customStyle="1" w:styleId="9">
    <w:name w:val="页眉 字符"/>
    <w:basedOn w:val="7"/>
    <w:link w:val="5"/>
    <w:uiPriority w:val="99"/>
    <w:rPr>
      <w:sz w:val="18"/>
      <w:szCs w:val="18"/>
    </w:rPr>
  </w:style>
  <w:style w:type="character" w:customStyle="1" w:styleId="10">
    <w:name w:val="页脚 字符"/>
    <w:basedOn w:val="7"/>
    <w:link w:val="4"/>
    <w:uiPriority w:val="99"/>
    <w:rPr>
      <w:sz w:val="18"/>
      <w:szCs w:val="18"/>
    </w:rPr>
  </w:style>
  <w:style w:type="paragraph" w:styleId="11">
    <w:name w:val="List Paragraph"/>
    <w:basedOn w:val="1"/>
    <w:qFormat/>
    <w:uiPriority w:val="99"/>
    <w:pPr>
      <w:ind w:firstLine="420"/>
    </w:pPr>
    <w:rPr>
      <w:rFonts w:ascii="Times New Roman" w:hAnsi="Times New Roman" w:eastAsia="宋体" w:cs="Times New Roman"/>
      <w:szCs w:val="21"/>
    </w:rPr>
  </w:style>
  <w:style w:type="character" w:customStyle="1" w:styleId="12">
    <w:name w:val="标题 1 字符"/>
    <w:basedOn w:val="7"/>
    <w:link w:val="2"/>
    <w:uiPriority w:val="9"/>
    <w:rPr>
      <w:rFonts w:eastAsia="方正黑体_GBK"/>
      <w:b/>
      <w:bCs/>
      <w:kern w:val="44"/>
      <w:sz w:val="32"/>
      <w:szCs w:val="44"/>
    </w:rPr>
  </w:style>
  <w:style w:type="character" w:customStyle="1" w:styleId="13">
    <w:name w:val="标题 2 字符"/>
    <w:basedOn w:val="7"/>
    <w:link w:val="3"/>
    <w:semiHidden/>
    <w:uiPriority w:val="9"/>
    <w:rPr>
      <w:rFonts w:asciiTheme="majorHAnsi" w:hAnsiTheme="majorHAnsi" w:eastAsiaTheme="majorEastAsia" w:cstheme="majorBidi"/>
      <w:b/>
      <w:bCs/>
      <w:sz w:val="32"/>
      <w:szCs w:val="32"/>
    </w:rPr>
  </w:style>
  <w:style w:type="character" w:customStyle="1" w:styleId="14">
    <w:name w:val="fontstyle01"/>
    <w:basedOn w:val="7"/>
    <w:qFormat/>
    <w:uiPriority w:val="0"/>
    <w:rPr>
      <w:rFonts w:hint="eastAsia" w:ascii="仿宋_GB2312" w:eastAsia="仿宋_GB2312"/>
      <w:color w:val="000000"/>
      <w:sz w:val="24"/>
      <w:szCs w:val="24"/>
    </w:rPr>
  </w:style>
  <w:style w:type="character" w:customStyle="1" w:styleId="15">
    <w:name w:val="fontstyle11"/>
    <w:basedOn w:val="7"/>
    <w:qFormat/>
    <w:uiPriority w:val="0"/>
    <w:rPr>
      <w:rFonts w:hint="default" w:ascii="TimesNewRomanPSMT" w:hAnsi="TimesNewRomanPSMT"/>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11</Pages>
  <Words>5644</Words>
  <Characters>5894</Characters>
  <Lines>42</Lines>
  <Paragraphs>12</Paragraphs>
  <TotalTime>5</TotalTime>
  <ScaleCrop>false</ScaleCrop>
  <LinksUpToDate>false</LinksUpToDate>
  <CharactersWithSpaces>5908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2022-10-09T08:01:00Z</dcterms:created>
  <dc:creator>M17206</dc:creator>
  <cp:lastModifiedBy>朱智荣</cp:lastModifiedBy>
  <cp:lastPrinted>2023-02-10T08:14:00Z</cp:lastPrinted>
  <dcterms:modified xsi:type="dcterms:W3CDTF">2023-05-19T07:31:15Z</dcterms:modified>
  <cp:revision>335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336657D84CC7456DA0DCFA57FCAA3BFE_12</vt:lpwstr>
  </property>
</Properties>
</file>