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left"/>
        <w:rPr>
          <w:rFonts w:eastAsia="黑体"/>
          <w:sz w:val="24"/>
        </w:rPr>
      </w:pPr>
    </w:p>
    <w:p>
      <w:pPr>
        <w:spacing w:line="240" w:lineRule="auto"/>
        <w:ind w:firstLine="0" w:firstLineChars="0"/>
        <w:jc w:val="left"/>
        <w:rPr>
          <w:rFonts w:eastAsia="黑体"/>
          <w:sz w:val="24"/>
        </w:rPr>
      </w:pPr>
    </w:p>
    <w:p>
      <w:pPr>
        <w:spacing w:line="240" w:lineRule="auto"/>
        <w:ind w:firstLine="0" w:firstLineChars="0"/>
        <w:jc w:val="left"/>
        <w:rPr>
          <w:rFonts w:eastAsia="黑体"/>
          <w:sz w:val="24"/>
        </w:rPr>
      </w:pPr>
      <w:bookmarkStart w:id="28" w:name="_GoBack"/>
      <w:bookmarkEnd w:id="28"/>
    </w:p>
    <w:p>
      <w:pPr>
        <w:spacing w:line="240" w:lineRule="auto"/>
        <w:ind w:firstLine="0" w:firstLineChars="0"/>
        <w:jc w:val="center"/>
        <w:rPr>
          <w:rFonts w:eastAsia="黑体"/>
          <w:sz w:val="44"/>
          <w:szCs w:val="44"/>
        </w:rPr>
      </w:pPr>
    </w:p>
    <w:p>
      <w:pPr>
        <w:spacing w:line="240" w:lineRule="auto"/>
        <w:ind w:firstLine="0" w:firstLineChars="0"/>
        <w:jc w:val="center"/>
        <w:rPr>
          <w:rFonts w:eastAsia="黑体"/>
          <w:sz w:val="44"/>
          <w:szCs w:val="44"/>
        </w:rPr>
      </w:pPr>
      <w:r>
        <w:rPr>
          <w:rFonts w:hint="eastAsia" w:eastAsia="黑体"/>
          <w:sz w:val="44"/>
          <w:szCs w:val="44"/>
        </w:rPr>
        <w:t>《地下管线数据获取与建库规范》</w:t>
      </w:r>
    </w:p>
    <w:p>
      <w:pPr>
        <w:pStyle w:val="19"/>
        <w:spacing w:after="312" w:afterLines="100"/>
        <w:ind w:firstLine="4576" w:firstLineChars="950"/>
        <w:jc w:val="center"/>
        <w:rPr>
          <w:rFonts w:ascii="Times New Roman"/>
          <w:b/>
          <w:spacing w:val="20"/>
          <w:sz w:val="44"/>
          <w:szCs w:val="44"/>
        </w:rPr>
      </w:pPr>
    </w:p>
    <w:p>
      <w:pPr>
        <w:ind w:firstLine="0" w:firstLineChars="0"/>
        <w:jc w:val="center"/>
        <w:rPr>
          <w:rFonts w:ascii="黑体" w:hAnsi="黑体" w:eastAsia="黑体"/>
          <w:sz w:val="44"/>
          <w:szCs w:val="44"/>
        </w:rPr>
      </w:pPr>
      <w:r>
        <w:rPr>
          <w:rFonts w:hint="eastAsia" w:ascii="黑体" w:hAnsi="黑体" w:eastAsia="黑体"/>
          <w:sz w:val="44"/>
          <w:szCs w:val="44"/>
        </w:rPr>
        <w:t>地方</w:t>
      </w:r>
      <w:r>
        <w:rPr>
          <w:rFonts w:ascii="黑体" w:hAnsi="黑体" w:eastAsia="黑体"/>
          <w:sz w:val="44"/>
          <w:szCs w:val="44"/>
        </w:rPr>
        <w:t>标准编制说明</w:t>
      </w:r>
    </w:p>
    <w:p>
      <w:pPr>
        <w:ind w:firstLine="0" w:firstLineChars="0"/>
        <w:jc w:val="center"/>
        <w:rPr>
          <w:rFonts w:ascii="黑体" w:hAnsi="黑体" w:eastAsia="黑体"/>
          <w:sz w:val="44"/>
          <w:szCs w:val="44"/>
        </w:rPr>
      </w:pPr>
    </w:p>
    <w:p>
      <w:pPr>
        <w:ind w:firstLine="0" w:firstLineChars="0"/>
        <w:jc w:val="center"/>
        <w:rPr>
          <w:rFonts w:ascii="黑体" w:hAnsi="黑体" w:eastAsia="黑体"/>
          <w:sz w:val="44"/>
          <w:szCs w:val="44"/>
        </w:rPr>
      </w:pPr>
    </w:p>
    <w:p>
      <w:pPr>
        <w:ind w:firstLine="0" w:firstLineChars="0"/>
        <w:jc w:val="center"/>
        <w:rPr>
          <w:rFonts w:ascii="黑体" w:hAnsi="黑体" w:eastAsia="黑体"/>
          <w:sz w:val="44"/>
          <w:szCs w:val="44"/>
        </w:rPr>
      </w:pPr>
    </w:p>
    <w:p>
      <w:pPr>
        <w:ind w:firstLine="0" w:firstLineChars="0"/>
        <w:jc w:val="center"/>
        <w:rPr>
          <w:rFonts w:ascii="黑体" w:hAnsi="黑体" w:eastAsia="黑体"/>
          <w:sz w:val="44"/>
          <w:szCs w:val="44"/>
        </w:rPr>
      </w:pPr>
    </w:p>
    <w:p>
      <w:pPr>
        <w:widowControl/>
        <w:spacing w:line="240" w:lineRule="auto"/>
        <w:ind w:firstLine="0" w:firstLineChars="0"/>
        <w:jc w:val="left"/>
        <w:rPr>
          <w:rFonts w:eastAsia="仿宋"/>
          <w:spacing w:val="20"/>
          <w:sz w:val="28"/>
          <w:szCs w:val="28"/>
          <w:lang w:val="zh-CN"/>
        </w:rPr>
      </w:pPr>
      <w:r>
        <w:rPr>
          <w:rFonts w:eastAsia="仿宋"/>
          <w:spacing w:val="20"/>
          <w:sz w:val="28"/>
          <w:szCs w:val="28"/>
          <w:lang w:val="zh-CN"/>
        </w:rPr>
        <w:br w:type="page"/>
      </w:r>
    </w:p>
    <w:p>
      <w:pPr>
        <w:autoSpaceDE w:val="0"/>
        <w:autoSpaceDN w:val="0"/>
        <w:adjustRightInd w:val="0"/>
        <w:spacing w:line="480" w:lineRule="auto"/>
        <w:ind w:firstLine="3840" w:firstLineChars="1200"/>
        <w:jc w:val="left"/>
        <w:rPr>
          <w:rFonts w:eastAsia="仿宋"/>
          <w:spacing w:val="20"/>
          <w:sz w:val="28"/>
          <w:szCs w:val="28"/>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autoSpaceDE w:val="0"/>
        <w:autoSpaceDN w:val="0"/>
        <w:adjustRightInd w:val="0"/>
        <w:spacing w:line="480" w:lineRule="auto"/>
        <w:ind w:firstLine="0" w:firstLineChars="0"/>
        <w:jc w:val="center"/>
        <w:rPr>
          <w:rFonts w:ascii="黑体" w:hAnsi="黑体" w:eastAsia="黑体"/>
          <w:spacing w:val="20"/>
          <w:sz w:val="30"/>
          <w:szCs w:val="30"/>
          <w:lang w:val="zh-CN"/>
        </w:rPr>
      </w:pPr>
      <w:r>
        <w:rPr>
          <w:rFonts w:hint="eastAsia" w:ascii="黑体" w:hAnsi="黑体" w:eastAsia="黑体"/>
          <w:spacing w:val="20"/>
          <w:sz w:val="30"/>
          <w:szCs w:val="30"/>
          <w:lang w:val="zh-CN"/>
        </w:rPr>
        <w:t>目  录</w:t>
      </w:r>
    </w:p>
    <w:p>
      <w:pPr>
        <w:autoSpaceDE w:val="0"/>
        <w:autoSpaceDN w:val="0"/>
        <w:adjustRightInd w:val="0"/>
        <w:spacing w:line="480" w:lineRule="auto"/>
        <w:ind w:firstLine="3840" w:firstLineChars="1200"/>
        <w:jc w:val="left"/>
        <w:rPr>
          <w:rFonts w:eastAsia="仿宋"/>
          <w:spacing w:val="20"/>
          <w:sz w:val="28"/>
          <w:szCs w:val="28"/>
          <w:lang w:val="zh-CN"/>
        </w:rPr>
      </w:pPr>
    </w:p>
    <w:p>
      <w:pPr>
        <w:pStyle w:val="13"/>
        <w:tabs>
          <w:tab w:val="right" w:leader="dot" w:pos="8296"/>
        </w:tabs>
        <w:spacing w:line="400" w:lineRule="exact"/>
        <w:rPr>
          <w:rFonts w:cstheme="minorBidi"/>
          <w:b w:val="0"/>
          <w:bCs w:val="0"/>
          <w:sz w:val="21"/>
          <w:szCs w:val="22"/>
        </w:rPr>
      </w:pPr>
      <w:r>
        <w:rPr>
          <w:rFonts w:ascii="宋体" w:hAnsi="宋体" w:eastAsia="宋体"/>
          <w:spacing w:val="20"/>
          <w:sz w:val="24"/>
          <w:szCs w:val="24"/>
          <w:lang w:val="zh-CN"/>
        </w:rPr>
        <w:fldChar w:fldCharType="begin"/>
      </w:r>
      <w:r>
        <w:rPr>
          <w:rFonts w:ascii="宋体" w:hAnsi="宋体" w:eastAsia="宋体"/>
          <w:spacing w:val="20"/>
          <w:sz w:val="24"/>
          <w:szCs w:val="24"/>
          <w:lang w:val="zh-CN"/>
        </w:rPr>
        <w:instrText xml:space="preserve"> TOC \o "1-3" \h \z \u </w:instrText>
      </w:r>
      <w:r>
        <w:rPr>
          <w:rFonts w:ascii="宋体" w:hAnsi="宋体" w:eastAsia="宋体"/>
          <w:spacing w:val="20"/>
          <w:sz w:val="24"/>
          <w:szCs w:val="24"/>
          <w:lang w:val="zh-CN"/>
        </w:rPr>
        <w:fldChar w:fldCharType="separate"/>
      </w:r>
      <w:r>
        <w:fldChar w:fldCharType="begin"/>
      </w:r>
      <w:r>
        <w:instrText xml:space="preserve"> HYPERLINK \l "_Toc133585994" </w:instrText>
      </w:r>
      <w:r>
        <w:fldChar w:fldCharType="separate"/>
      </w:r>
      <w:r>
        <w:rPr>
          <w:rStyle w:val="18"/>
          <w:rFonts w:ascii="黑体" w:hAnsi="黑体" w:eastAsia="黑体"/>
          <w:lang w:val="zh-CN"/>
        </w:rPr>
        <w:t>1．目的意义</w:t>
      </w:r>
      <w:r>
        <w:tab/>
      </w:r>
      <w:r>
        <w:fldChar w:fldCharType="begin"/>
      </w:r>
      <w:r>
        <w:instrText xml:space="preserve"> PAGEREF _Toc133585994 \h </w:instrText>
      </w:r>
      <w:r>
        <w:fldChar w:fldCharType="separate"/>
      </w:r>
      <w:r>
        <w:t>1</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"_Toc133585995" </w:instrText>
      </w:r>
      <w:r>
        <w:fldChar w:fldCharType="separate"/>
      </w:r>
      <w:r>
        <w:rPr>
          <w:rStyle w:val="18"/>
          <w:rFonts w:ascii="黑体" w:hAnsi="黑体" w:eastAsia="黑体"/>
          <w:lang w:val="zh-CN"/>
        </w:rPr>
        <w:t>1.1 产业发展现状</w:t>
      </w:r>
      <w:r>
        <w:tab/>
      </w:r>
      <w:r>
        <w:fldChar w:fldCharType="begin"/>
      </w:r>
      <w:r>
        <w:instrText xml:space="preserve"> PAGEREF _Toc133585995 \h </w:instrText>
      </w:r>
      <w:r>
        <w:fldChar w:fldCharType="separate"/>
      </w:r>
      <w:r>
        <w:t>1</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"_Toc133585996" </w:instrText>
      </w:r>
      <w:r>
        <w:fldChar w:fldCharType="separate"/>
      </w:r>
      <w:r>
        <w:rPr>
          <w:rStyle w:val="18"/>
          <w:rFonts w:ascii="黑体" w:hAnsi="黑体" w:eastAsia="黑体"/>
          <w:lang w:val="zh-CN"/>
        </w:rPr>
        <w:t>1.2 必要性</w:t>
      </w:r>
      <w:r>
        <w:tab/>
      </w:r>
      <w:r>
        <w:fldChar w:fldCharType="begin"/>
      </w:r>
      <w:r>
        <w:instrText xml:space="preserve"> PAGEREF _Toc133585996 \h </w:instrText>
      </w:r>
      <w:r>
        <w:fldChar w:fldCharType="separate"/>
      </w:r>
      <w:r>
        <w:t>1</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"_Toc133585997" </w:instrText>
      </w:r>
      <w:r>
        <w:fldChar w:fldCharType="separate"/>
      </w:r>
      <w:r>
        <w:rPr>
          <w:rStyle w:val="18"/>
          <w:rFonts w:ascii="黑体" w:hAnsi="黑体" w:eastAsia="黑体"/>
          <w:lang w:val="zh-CN"/>
        </w:rPr>
        <w:t>1.3 可行性</w:t>
      </w:r>
      <w:r>
        <w:tab/>
      </w:r>
      <w:r>
        <w:fldChar w:fldCharType="begin"/>
      </w:r>
      <w:r>
        <w:instrText xml:space="preserve"> PAGEREF _Toc133585997 \h </w:instrText>
      </w:r>
      <w:r>
        <w:fldChar w:fldCharType="separate"/>
      </w:r>
      <w:r>
        <w:t>3</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"_Toc133585998" </w:instrText>
      </w:r>
      <w:r>
        <w:fldChar w:fldCharType="separate"/>
      </w:r>
      <w:r>
        <w:rPr>
          <w:rStyle w:val="18"/>
          <w:rFonts w:ascii="黑体" w:hAnsi="黑体" w:eastAsia="黑体"/>
          <w:lang w:val="zh-CN"/>
        </w:rPr>
        <w:t>1.4 预期经济社会效益分析</w:t>
      </w:r>
      <w:r>
        <w:tab/>
      </w:r>
      <w:r>
        <w:fldChar w:fldCharType="begin"/>
      </w:r>
      <w:r>
        <w:instrText xml:space="preserve"> PAGEREF _Toc133585998 \h </w:instrText>
      </w:r>
      <w:r>
        <w:fldChar w:fldCharType="separate"/>
      </w:r>
      <w:r>
        <w:t>4</w:t>
      </w:r>
      <w:r>
        <w:fldChar w:fldCharType="end"/>
      </w:r>
      <w:r>
        <w:fldChar w:fldCharType="end"/>
      </w:r>
    </w:p>
    <w:p>
      <w:pPr>
        <w:pStyle w:val="13"/>
        <w:tabs>
          <w:tab w:val="right" w:leader="dot" w:pos="8296"/>
        </w:tabs>
        <w:spacing w:line="400" w:lineRule="exact"/>
        <w:rPr>
          <w:rFonts w:cstheme="minorBidi"/>
          <w:b w:val="0"/>
          <w:bCs w:val="0"/>
          <w:sz w:val="21"/>
          <w:szCs w:val="22"/>
        </w:rPr>
      </w:pPr>
      <w:r>
        <w:fldChar w:fldCharType="begin"/>
      </w:r>
      <w:r>
        <w:instrText xml:space="preserve"> HYPERLINK \l "_Toc133585999" </w:instrText>
      </w:r>
      <w:r>
        <w:fldChar w:fldCharType="separate"/>
      </w:r>
      <w:r>
        <w:rPr>
          <w:rStyle w:val="18"/>
          <w:rFonts w:ascii="黑体" w:hAnsi="黑体" w:eastAsia="黑体"/>
          <w:lang w:val="zh-CN"/>
        </w:rPr>
        <w:t>2．任务来源</w:t>
      </w:r>
      <w:r>
        <w:tab/>
      </w:r>
      <w:r>
        <w:fldChar w:fldCharType="begin"/>
      </w:r>
      <w:r>
        <w:instrText xml:space="preserve"> PAGEREF _Toc133585999 \h </w:instrText>
      </w:r>
      <w:r>
        <w:fldChar w:fldCharType="separate"/>
      </w:r>
      <w:r>
        <w:t>5</w:t>
      </w:r>
      <w:r>
        <w:fldChar w:fldCharType="end"/>
      </w:r>
      <w:r>
        <w:fldChar w:fldCharType="end"/>
      </w:r>
    </w:p>
    <w:p>
      <w:pPr>
        <w:pStyle w:val="13"/>
        <w:tabs>
          <w:tab w:val="right" w:leader="dot" w:pos="8296"/>
        </w:tabs>
        <w:spacing w:line="400" w:lineRule="exact"/>
        <w:rPr>
          <w:rFonts w:cstheme="minorBidi"/>
          <w:b w:val="0"/>
          <w:bCs w:val="0"/>
          <w:sz w:val="21"/>
          <w:szCs w:val="22"/>
        </w:rPr>
      </w:pPr>
      <w:r>
        <w:fldChar w:fldCharType="begin"/>
      </w:r>
      <w:r>
        <w:instrText xml:space="preserve"> HYPERLINK \l "_Toc133586000" </w:instrText>
      </w:r>
      <w:r>
        <w:fldChar w:fldCharType="separate"/>
      </w:r>
      <w:r>
        <w:rPr>
          <w:rStyle w:val="18"/>
          <w:rFonts w:ascii="黑体" w:hAnsi="黑体" w:eastAsia="黑体"/>
          <w:lang w:val="zh-CN"/>
        </w:rPr>
        <w:t>3．编制过程</w:t>
      </w:r>
      <w:r>
        <w:tab/>
      </w:r>
      <w:r>
        <w:fldChar w:fldCharType="begin"/>
      </w:r>
      <w:r>
        <w:instrText xml:space="preserve"> PAGEREF _Toc133586000 \h </w:instrText>
      </w:r>
      <w:r>
        <w:fldChar w:fldCharType="separate"/>
      </w:r>
      <w:r>
        <w:t>5</w:t>
      </w:r>
      <w:r>
        <w:fldChar w:fldCharType="end"/>
      </w:r>
      <w:r>
        <w:fldChar w:fldCharType="end"/>
      </w:r>
    </w:p>
    <w:p>
      <w:pPr>
        <w:pStyle w:val="13"/>
        <w:tabs>
          <w:tab w:val="right" w:leader="dot" w:pos="8296"/>
        </w:tabs>
        <w:spacing w:line="400" w:lineRule="exact"/>
        <w:rPr>
          <w:rFonts w:cstheme="minorBidi"/>
          <w:b w:val="0"/>
          <w:bCs w:val="0"/>
          <w:sz w:val="21"/>
          <w:szCs w:val="22"/>
        </w:rPr>
      </w:pPr>
      <w:r>
        <w:fldChar w:fldCharType="begin"/>
      </w:r>
      <w:r>
        <w:instrText xml:space="preserve"> HYPERLINK \l "_Toc133586001" </w:instrText>
      </w:r>
      <w:r>
        <w:fldChar w:fldCharType="separate"/>
      </w:r>
      <w:r>
        <w:rPr>
          <w:rStyle w:val="18"/>
          <w:rFonts w:ascii="黑体" w:hAnsi="黑体" w:eastAsia="黑体"/>
          <w:lang w:val="zh-CN"/>
        </w:rPr>
        <w:t>4．主要内容技术指标确立</w:t>
      </w:r>
      <w:r>
        <w:tab/>
      </w:r>
      <w:r>
        <w:fldChar w:fldCharType="begin"/>
      </w:r>
      <w:r>
        <w:instrText xml:space="preserve"> PAGEREF _Toc133586001 \h </w:instrText>
      </w:r>
      <w:r>
        <w:fldChar w:fldCharType="separate"/>
      </w:r>
      <w:r>
        <w:t>6</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"_Toc133586002" </w:instrText>
      </w:r>
      <w:r>
        <w:fldChar w:fldCharType="separate"/>
      </w:r>
      <w:r>
        <w:rPr>
          <w:rStyle w:val="18"/>
          <w:rFonts w:ascii="黑体" w:hAnsi="黑体" w:eastAsia="黑体"/>
          <w:lang w:val="zh-CN"/>
        </w:rPr>
        <w:t>4.1编制原则</w:t>
      </w:r>
      <w:r>
        <w:tab/>
      </w:r>
      <w:r>
        <w:fldChar w:fldCharType="begin"/>
      </w:r>
      <w:r>
        <w:instrText xml:space="preserve"> PAGEREF _Toc133586002 \h </w:instrText>
      </w:r>
      <w:r>
        <w:fldChar w:fldCharType="separate"/>
      </w:r>
      <w:r>
        <w:t>6</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"_Toc133586003" </w:instrText>
      </w:r>
      <w:r>
        <w:fldChar w:fldCharType="separate"/>
      </w:r>
      <w:r>
        <w:rPr>
          <w:rStyle w:val="18"/>
          <w:rFonts w:ascii="黑体" w:hAnsi="黑体" w:eastAsia="黑体"/>
          <w:lang w:val="zh-CN"/>
        </w:rPr>
        <w:t>4.2编制依据</w:t>
      </w:r>
      <w:r>
        <w:tab/>
      </w:r>
      <w:r>
        <w:fldChar w:fldCharType="begin"/>
      </w:r>
      <w:r>
        <w:instrText xml:space="preserve"> PAGEREF _Toc133586003 \h </w:instrText>
      </w:r>
      <w:r>
        <w:fldChar w:fldCharType="separate"/>
      </w:r>
      <w:r>
        <w:t>6</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"_Toc133586004" </w:instrText>
      </w:r>
      <w:r>
        <w:fldChar w:fldCharType="separate"/>
      </w:r>
      <w:r>
        <w:rPr>
          <w:rStyle w:val="18"/>
          <w:rFonts w:ascii="黑体" w:hAnsi="黑体" w:eastAsia="黑体"/>
          <w:lang w:val="zh-CN"/>
        </w:rPr>
        <w:t>4.3技术路线</w:t>
      </w:r>
      <w:r>
        <w:tab/>
      </w:r>
      <w:r>
        <w:fldChar w:fldCharType="begin"/>
      </w:r>
      <w:r>
        <w:instrText xml:space="preserve"> PAGEREF _Toc133586004 \h </w:instrText>
      </w:r>
      <w:r>
        <w:fldChar w:fldCharType="separate"/>
      </w:r>
      <w:r>
        <w:t>6</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"_Toc133586005" </w:instrText>
      </w:r>
      <w:r>
        <w:fldChar w:fldCharType="separate"/>
      </w:r>
      <w:r>
        <w:rPr>
          <w:rStyle w:val="18"/>
          <w:rFonts w:ascii="黑体" w:hAnsi="黑体" w:eastAsia="黑体"/>
          <w:lang w:val="zh-CN"/>
        </w:rPr>
        <w:t>4.4编制步骤</w:t>
      </w:r>
      <w:r>
        <w:tab/>
      </w:r>
      <w:r>
        <w:fldChar w:fldCharType="begin"/>
      </w:r>
      <w:r>
        <w:instrText xml:space="preserve"> PAGEREF _Toc133586005 \h </w:instrText>
      </w:r>
      <w:r>
        <w:fldChar w:fldCharType="separate"/>
      </w:r>
      <w:r>
        <w:t>7</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"_Toc133586006" </w:instrText>
      </w:r>
      <w:r>
        <w:fldChar w:fldCharType="separate"/>
      </w:r>
      <w:r>
        <w:rPr>
          <w:rStyle w:val="18"/>
          <w:rFonts w:ascii="黑体" w:hAnsi="黑体" w:eastAsia="黑体"/>
          <w:lang w:val="zh-CN"/>
        </w:rPr>
        <w:t>4.5 主要内容的确定</w:t>
      </w:r>
      <w:r>
        <w:tab/>
      </w:r>
      <w:r>
        <w:fldChar w:fldCharType="begin"/>
      </w:r>
      <w:r>
        <w:instrText xml:space="preserve"> PAGEREF _Toc133586006 \h </w:instrText>
      </w:r>
      <w:r>
        <w:fldChar w:fldCharType="separate"/>
      </w:r>
      <w:r>
        <w:t>8</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"_Toc133586007" </w:instrText>
      </w:r>
      <w:r>
        <w:fldChar w:fldCharType="separate"/>
      </w:r>
      <w:r>
        <w:rPr>
          <w:rStyle w:val="18"/>
          <w:rFonts w:ascii="黑体" w:hAnsi="黑体" w:eastAsia="黑体"/>
          <w:lang w:val="zh-CN"/>
        </w:rPr>
        <w:t>4.6技术特色</w:t>
      </w:r>
      <w:r>
        <w:tab/>
      </w:r>
      <w:r>
        <w:fldChar w:fldCharType="begin"/>
      </w:r>
      <w:r>
        <w:instrText xml:space="preserve"> PAGEREF _Toc133586007 \h </w:instrText>
      </w:r>
      <w:r>
        <w:fldChar w:fldCharType="separate"/>
      </w:r>
      <w:r>
        <w:t>9</w:t>
      </w:r>
      <w:r>
        <w:fldChar w:fldCharType="end"/>
      </w:r>
      <w:r>
        <w:fldChar w:fldCharType="end"/>
      </w:r>
    </w:p>
    <w:p>
      <w:pPr>
        <w:pStyle w:val="13"/>
        <w:tabs>
          <w:tab w:val="right" w:leader="dot" w:pos="8296"/>
        </w:tabs>
        <w:spacing w:line="400" w:lineRule="exact"/>
        <w:rPr>
          <w:rFonts w:cstheme="minorBidi"/>
          <w:b w:val="0"/>
          <w:bCs w:val="0"/>
          <w:sz w:val="21"/>
          <w:szCs w:val="22"/>
        </w:rPr>
      </w:pPr>
      <w:r>
        <w:fldChar w:fldCharType="begin"/>
      </w:r>
      <w:r>
        <w:instrText xml:space="preserve"> HYPERLINK \l "_Toc133586008" </w:instrText>
      </w:r>
      <w:r>
        <w:fldChar w:fldCharType="separate"/>
      </w:r>
      <w:r>
        <w:rPr>
          <w:rStyle w:val="18"/>
          <w:rFonts w:ascii="黑体" w:hAnsi="黑体" w:eastAsia="黑体"/>
          <w:lang w:val="zh-CN"/>
        </w:rPr>
        <w:t>5．与相关法律法规和标准的关系</w:t>
      </w:r>
      <w:r>
        <w:tab/>
      </w:r>
      <w:r>
        <w:fldChar w:fldCharType="begin"/>
      </w:r>
      <w:r>
        <w:instrText xml:space="preserve"> PAGEREF _Toc133586008 \h </w:instrText>
      </w:r>
      <w:r>
        <w:fldChar w:fldCharType="separate"/>
      </w:r>
      <w:r>
        <w:t>9</w:t>
      </w:r>
      <w:r>
        <w:fldChar w:fldCharType="end"/>
      </w:r>
      <w:r>
        <w:fldChar w:fldCharType="end"/>
      </w:r>
    </w:p>
    <w:p>
      <w:pPr>
        <w:pStyle w:val="13"/>
        <w:tabs>
          <w:tab w:val="right" w:leader="dot" w:pos="8296"/>
        </w:tabs>
        <w:spacing w:line="400" w:lineRule="exact"/>
        <w:rPr>
          <w:rFonts w:cstheme="minorBidi"/>
          <w:b w:val="0"/>
          <w:bCs w:val="0"/>
          <w:sz w:val="21"/>
          <w:szCs w:val="22"/>
        </w:rPr>
      </w:pPr>
      <w:r>
        <w:fldChar w:fldCharType="begin"/>
      </w:r>
      <w:r>
        <w:instrText xml:space="preserve"> HYPERLINK \l "_Toc133586009" </w:instrText>
      </w:r>
      <w:r>
        <w:fldChar w:fldCharType="separate"/>
      </w:r>
      <w:r>
        <w:rPr>
          <w:rStyle w:val="18"/>
          <w:rFonts w:ascii="黑体" w:hAnsi="黑体" w:eastAsia="黑体"/>
          <w:lang w:val="zh-CN"/>
        </w:rPr>
        <w:t>6．实施推广建议</w:t>
      </w:r>
      <w:r>
        <w:tab/>
      </w:r>
      <w:r>
        <w:fldChar w:fldCharType="begin"/>
      </w:r>
      <w:r>
        <w:instrText xml:space="preserve"> PAGEREF _Toc133586009 \h </w:instrText>
      </w:r>
      <w:r>
        <w:fldChar w:fldCharType="separate"/>
      </w:r>
      <w:r>
        <w:t>11</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"_Toc133586010" </w:instrText>
      </w:r>
      <w:r>
        <w:fldChar w:fldCharType="separate"/>
      </w:r>
      <w:r>
        <w:rPr>
          <w:rStyle w:val="18"/>
          <w:rFonts w:ascii="黑体" w:hAnsi="黑体" w:eastAsia="黑体"/>
          <w:lang w:val="zh-CN"/>
        </w:rPr>
        <w:t>6.1适合地域</w:t>
      </w:r>
      <w:r>
        <w:tab/>
      </w:r>
      <w:r>
        <w:fldChar w:fldCharType="begin"/>
      </w:r>
      <w:r>
        <w:instrText xml:space="preserve"> PAGEREF _Toc133586010 \h </w:instrText>
      </w:r>
      <w:r>
        <w:fldChar w:fldCharType="separate"/>
      </w:r>
      <w:r>
        <w:t>11</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"_Toc133586011" </w:instrText>
      </w:r>
      <w:r>
        <w:fldChar w:fldCharType="separate"/>
      </w:r>
      <w:r>
        <w:rPr>
          <w:rStyle w:val="18"/>
          <w:rFonts w:ascii="黑体" w:hAnsi="黑体" w:eastAsia="黑体"/>
          <w:lang w:val="zh-CN"/>
        </w:rPr>
        <w:t>6.2适合领域</w:t>
      </w:r>
      <w:r>
        <w:tab/>
      </w:r>
      <w:r>
        <w:fldChar w:fldCharType="begin"/>
      </w:r>
      <w:r>
        <w:instrText xml:space="preserve"> PAGEREF _Toc133586011 \h </w:instrText>
      </w:r>
      <w:r>
        <w:fldChar w:fldCharType="separate"/>
      </w:r>
      <w:r>
        <w:t>11</w:t>
      </w:r>
      <w:r>
        <w:fldChar w:fldCharType="end"/>
      </w:r>
      <w:r>
        <w:fldChar w:fldCharType="end"/>
      </w:r>
    </w:p>
    <w:p>
      <w:pPr>
        <w:pStyle w:val="7"/>
        <w:tabs>
          <w:tab w:val="right" w:leader="dot" w:pos="8296"/>
        </w:tabs>
        <w:spacing w:line="400" w:lineRule="exact"/>
        <w:rPr>
          <w:rFonts w:cstheme="minorBidi"/>
          <w:sz w:val="21"/>
          <w:szCs w:val="22"/>
        </w:rPr>
      </w:pPr>
      <w:r>
        <w:fldChar w:fldCharType="begin"/>
      </w:r>
      <w:r>
        <w:instrText xml:space="preserve"> HYPERLINK \l "_Toc133586012" </w:instrText>
      </w:r>
      <w:r>
        <w:fldChar w:fldCharType="separate"/>
      </w:r>
      <w:r>
        <w:rPr>
          <w:rStyle w:val="18"/>
          <w:rFonts w:ascii="黑体" w:hAnsi="黑体" w:eastAsia="黑体"/>
          <w:lang w:val="zh-CN"/>
        </w:rPr>
        <w:t>6.3推广注意事项</w:t>
      </w:r>
      <w:r>
        <w:tab/>
      </w:r>
      <w:r>
        <w:fldChar w:fldCharType="begin"/>
      </w:r>
      <w:r>
        <w:instrText xml:space="preserve"> PAGEREF _Toc133586012 \h </w:instrText>
      </w:r>
      <w:r>
        <w:fldChar w:fldCharType="separate"/>
      </w:r>
      <w:r>
        <w:t>11</w:t>
      </w:r>
      <w:r>
        <w:fldChar w:fldCharType="end"/>
      </w:r>
      <w:r>
        <w:fldChar w:fldCharType="end"/>
      </w:r>
    </w:p>
    <w:p>
      <w:pPr>
        <w:autoSpaceDE w:val="0"/>
        <w:autoSpaceDN w:val="0"/>
        <w:adjustRightInd w:val="0"/>
        <w:spacing w:line="400" w:lineRule="exact"/>
        <w:ind w:firstLine="3360" w:firstLineChars="1200"/>
        <w:jc w:val="left"/>
        <w:rPr>
          <w:rFonts w:ascii="宋体" w:hAnsi="宋体"/>
          <w:spacing w:val="20"/>
          <w:sz w:val="24"/>
          <w:lang w:val="zh-CN"/>
        </w:rPr>
      </w:pPr>
      <w:r>
        <w:rPr>
          <w:rFonts w:ascii="宋体" w:hAnsi="宋体"/>
          <w:spacing w:val="20"/>
          <w:sz w:val="24"/>
          <w:lang w:val="zh-CN"/>
        </w:rPr>
        <w:fldChar w:fldCharType="end"/>
      </w:r>
    </w:p>
    <w:p>
      <w:pPr>
        <w:autoSpaceDE w:val="0"/>
        <w:autoSpaceDN w:val="0"/>
        <w:adjustRightInd w:val="0"/>
        <w:ind w:firstLine="3360" w:firstLineChars="1200"/>
        <w:jc w:val="left"/>
        <w:rPr>
          <w:rFonts w:ascii="宋体" w:hAnsi="宋体"/>
          <w:spacing w:val="20"/>
          <w:sz w:val="24"/>
          <w:lang w:val="zh-CN"/>
        </w:rPr>
        <w:sectPr>
          <w:pgSz w:w="11906" w:h="16838"/>
          <w:pgMar w:top="1440" w:right="1800" w:bottom="1440" w:left="1800" w:header="851" w:footer="992" w:gutter="0"/>
          <w:cols w:space="425" w:num="1"/>
          <w:docGrid w:type="lines" w:linePitch="312" w:charSpace="0"/>
        </w:sectPr>
      </w:pPr>
    </w:p>
    <w:p>
      <w:pPr>
        <w:pStyle w:val="3"/>
        <w:spacing w:before="0" w:after="0" w:line="360" w:lineRule="auto"/>
        <w:ind w:firstLine="0" w:firstLineChars="0"/>
        <w:rPr>
          <w:rFonts w:ascii="黑体" w:hAnsi="黑体" w:eastAsia="黑体"/>
          <w:b w:val="0"/>
          <w:sz w:val="28"/>
          <w:szCs w:val="28"/>
          <w:lang w:val="zh-CN"/>
        </w:rPr>
      </w:pPr>
      <w:bookmarkStart w:id="0" w:name="_Toc133585994"/>
      <w:r>
        <w:rPr>
          <w:rFonts w:hint="eastAsia" w:ascii="黑体" w:hAnsi="黑体" w:eastAsia="黑体"/>
          <w:b w:val="0"/>
          <w:sz w:val="28"/>
          <w:szCs w:val="28"/>
          <w:lang w:val="zh-CN"/>
        </w:rPr>
        <w:t>1．</w:t>
      </w:r>
      <w:r>
        <w:rPr>
          <w:rFonts w:ascii="黑体" w:hAnsi="黑体" w:eastAsia="黑体"/>
          <w:b w:val="0"/>
          <w:sz w:val="28"/>
          <w:szCs w:val="28"/>
          <w:lang w:val="zh-CN"/>
        </w:rPr>
        <w:t>目的意义</w:t>
      </w:r>
      <w:bookmarkEnd w:id="0"/>
    </w:p>
    <w:p>
      <w:pPr>
        <w:pStyle w:val="4"/>
        <w:spacing w:before="120" w:after="120" w:line="360" w:lineRule="auto"/>
        <w:ind w:firstLine="0" w:firstLineChars="0"/>
        <w:rPr>
          <w:rFonts w:ascii="黑体" w:hAnsi="黑体" w:eastAsia="黑体"/>
          <w:b w:val="0"/>
          <w:sz w:val="24"/>
          <w:szCs w:val="24"/>
          <w:lang w:val="zh-CN"/>
        </w:rPr>
      </w:pPr>
      <w:bookmarkStart w:id="1" w:name="_Toc133585995"/>
      <w:r>
        <w:rPr>
          <w:rFonts w:ascii="黑体" w:hAnsi="黑体" w:eastAsia="黑体"/>
          <w:b w:val="0"/>
          <w:sz w:val="24"/>
          <w:szCs w:val="24"/>
          <w:lang w:val="zh-CN"/>
        </w:rPr>
        <w:t xml:space="preserve">1.1 </w:t>
      </w:r>
      <w:r>
        <w:rPr>
          <w:rFonts w:hint="eastAsia" w:ascii="黑体" w:hAnsi="黑体" w:eastAsia="黑体"/>
          <w:b w:val="0"/>
          <w:sz w:val="24"/>
          <w:szCs w:val="24"/>
          <w:lang w:val="zh-CN"/>
        </w:rPr>
        <w:t>产业</w:t>
      </w:r>
      <w:r>
        <w:rPr>
          <w:rFonts w:ascii="黑体" w:hAnsi="黑体" w:eastAsia="黑体"/>
          <w:b w:val="0"/>
          <w:sz w:val="24"/>
          <w:szCs w:val="24"/>
          <w:lang w:val="zh-CN"/>
        </w:rPr>
        <w:t>发展现状</w:t>
      </w:r>
      <w:bookmarkEnd w:id="1"/>
    </w:p>
    <w:p>
      <w:pPr>
        <w:ind w:firstLine="480"/>
        <w:jc w:val="left"/>
        <w:rPr>
          <w:sz w:val="24"/>
        </w:rPr>
      </w:pPr>
      <w:r>
        <w:rPr>
          <w:rFonts w:hint="eastAsia"/>
          <w:sz w:val="24"/>
        </w:rPr>
        <w:t>近年来随着城市建设的不断加快，城市地下管网规模越来越庞大，越来越复杂。详实准确的地下管线数据是城市规划建设的重要依据，是管网安全运行的数据支撑。各种诸如轨道交通建设、道桥施工、房建施工、地下管线施工等对现状管线的破坏屡见不鲜，近年来，因外力破坏、管网自身老化破损等原因造成管线安全事故屡见报端，造成了巨大的损失。根据国务院办公厅印发的《关于加强城市地下管线建设管理的指导意见》（国办发（2014）27号），全国各城市均开展了地下管线普查工作，管线普查成果数据已经在城市建设与管理中发挥了作用。近年来随着城市精密化、智慧化管理的不断推进，对地下管线的数据内容提出了新的要求。住房和城乡建设部、工业有信息化部、国家广播电视总局、国家能源局印发的《进一步加强城市地下管线建设管理有关工作的通知》（建城（2019）100号）中要求，积极做好管线普查摸底，全面深入摸排管线存在的安全隐患和危险源，做好管线普查信息共享工作。</w:t>
      </w:r>
      <w:r>
        <w:rPr>
          <w:sz w:val="24"/>
        </w:rPr>
        <w:t>我</w:t>
      </w:r>
      <w:r>
        <w:rPr>
          <w:rFonts w:hint="eastAsia"/>
          <w:sz w:val="24"/>
        </w:rPr>
        <w:t>国将</w:t>
      </w:r>
      <w:r>
        <w:rPr>
          <w:sz w:val="24"/>
        </w:rPr>
        <w:t>全面启动城市基础设施生命线安全工程</w:t>
      </w:r>
      <w:r>
        <w:rPr>
          <w:rFonts w:hint="eastAsia"/>
          <w:sz w:val="24"/>
        </w:rPr>
        <w:t>，</w:t>
      </w:r>
      <w:r>
        <w:rPr>
          <w:sz w:val="24"/>
        </w:rPr>
        <w:t>开展城市基础设施普查，建立覆盖地上地下的城市基础设施数据库，找准城市基础设施风险源和风险点，编制城市安全风险清单</w:t>
      </w:r>
      <w:r>
        <w:rPr>
          <w:rFonts w:hint="eastAsia"/>
          <w:sz w:val="24"/>
        </w:rPr>
        <w:t>，</w:t>
      </w:r>
      <w:r>
        <w:rPr>
          <w:sz w:val="24"/>
        </w:rPr>
        <w:t>是城市更新和新型城市基础设施建设的重要内容。</w:t>
      </w:r>
      <w:r>
        <w:rPr>
          <w:rFonts w:hint="eastAsia"/>
          <w:sz w:val="24"/>
        </w:rPr>
        <w:t>在管线运行维护、隐患排查、应急抢险及安全防范等方面应用地下管线信息集成数据，提高管线综合管理信息化、科学化水平。南通市为落实国家、省级相关工作要求，积极探索在全要素的管线数据采集基础上建设具有全景三维展示、智慧分析、智能管理功能的地下管线管理平台，建设“一库多平台”的管线数据共享及更新机制，加强地下管线信息数据标准化建设，在各类地下管线信息数据共享、动态更新上取得新突破。</w:t>
      </w:r>
    </w:p>
    <w:p>
      <w:pPr>
        <w:pStyle w:val="4"/>
        <w:spacing w:before="120" w:after="120" w:line="360" w:lineRule="auto"/>
        <w:ind w:firstLine="0" w:firstLineChars="0"/>
        <w:rPr>
          <w:rFonts w:ascii="黑体" w:hAnsi="黑体" w:eastAsia="黑体"/>
          <w:b w:val="0"/>
          <w:sz w:val="24"/>
          <w:szCs w:val="24"/>
          <w:lang w:val="zh-CN"/>
        </w:rPr>
      </w:pPr>
      <w:bookmarkStart w:id="2" w:name="_Toc133585996"/>
      <w:r>
        <w:rPr>
          <w:rFonts w:ascii="黑体" w:hAnsi="黑体" w:eastAsia="黑体"/>
          <w:b w:val="0"/>
          <w:sz w:val="24"/>
          <w:szCs w:val="24"/>
          <w:lang w:val="zh-CN"/>
        </w:rPr>
        <w:t xml:space="preserve">1.2 </w:t>
      </w:r>
      <w:r>
        <w:rPr>
          <w:rFonts w:hint="eastAsia" w:ascii="黑体" w:hAnsi="黑体" w:eastAsia="黑体"/>
          <w:b w:val="0"/>
          <w:sz w:val="24"/>
          <w:szCs w:val="24"/>
          <w:lang w:val="zh-CN"/>
        </w:rPr>
        <w:t>必要性</w:t>
      </w:r>
      <w:bookmarkEnd w:id="2"/>
    </w:p>
    <w:p>
      <w:pPr>
        <w:pStyle w:val="5"/>
        <w:spacing w:before="120" w:after="120" w:line="360" w:lineRule="auto"/>
        <w:ind w:firstLine="0" w:firstLineChars="0"/>
        <w:rPr>
          <w:rFonts w:ascii="宋体" w:hAnsi="宋体" w:eastAsia="宋体"/>
          <w:sz w:val="24"/>
          <w:szCs w:val="24"/>
          <w:lang w:val="zh-CN"/>
        </w:rPr>
      </w:pPr>
      <w:r>
        <w:rPr>
          <w:rFonts w:hint="eastAsia" w:ascii="宋体" w:hAnsi="宋体" w:eastAsia="宋体"/>
          <w:sz w:val="24"/>
          <w:szCs w:val="24"/>
          <w:lang w:val="zh-CN"/>
        </w:rPr>
        <w:t>1</w:t>
      </w:r>
      <w:r>
        <w:rPr>
          <w:rFonts w:ascii="宋体" w:hAnsi="宋体" w:eastAsia="宋体"/>
          <w:sz w:val="24"/>
          <w:szCs w:val="24"/>
          <w:lang w:val="zh-CN"/>
        </w:rPr>
        <w:t xml:space="preserve">.2.1 </w:t>
      </w:r>
      <w:r>
        <w:rPr>
          <w:rFonts w:hint="eastAsia" w:ascii="宋体" w:hAnsi="宋体" w:eastAsia="宋体"/>
          <w:sz w:val="24"/>
          <w:szCs w:val="24"/>
          <w:lang w:val="zh-CN"/>
        </w:rPr>
        <w:t>编制目的</w:t>
      </w:r>
    </w:p>
    <w:p>
      <w:pPr>
        <w:ind w:firstLine="480"/>
        <w:jc w:val="left"/>
        <w:rPr>
          <w:sz w:val="24"/>
        </w:rPr>
      </w:pPr>
      <w:r>
        <w:rPr>
          <w:sz w:val="24"/>
        </w:rPr>
        <w:t>（1）贯彻落实国家政策的具体举措。城市地下管线担负着城市的信息传递、交通管理、能源输送、排涝减灾等功能，是城市赖以生存和发展的物质基础，是保障城市有序运行“生命线”。近年来，国家、省对地下管线工作高度重视，陆续下发了《国务院办公厅关于加强城市地下管线建设管理的指导意见》、《进一步做好市政基础设施安全运行管理》（住房和城乡建设部）、《关于全面加快建设城市运行管理服务平台的通知》（住房和城乡建设部办公厅）、《城市安全风险综合监测预警平台建设指南（试行）》（国务院安委会），2022年4月习近平总书记主持财经会议再次批示：推进地下管网、综合管廊、防洪排涝、污水处理等基础设施建设。</w:t>
      </w:r>
    </w:p>
    <w:p>
      <w:pPr>
        <w:ind w:firstLine="480"/>
        <w:jc w:val="left"/>
        <w:rPr>
          <w:sz w:val="24"/>
        </w:rPr>
      </w:pPr>
      <w:r>
        <w:rPr>
          <w:sz w:val="24"/>
        </w:rPr>
        <w:t>（2）“智慧南通”基础设施建设的重要标准。以地理实体为底座，以地下管线基础数据为主线，统筹考虑编制设计数据、竣工数据、市政设施数据、巡检养护数据、应急指挥数据、物联网监控数据、安全隐患数据等数据融合标准，为规划、设计、施工提供精准的管线数据，为发现管线存在的安全隐患提供统一的数据，可为政府决策制定应对预案、解决问题，从而保障城市管网健康安全运行和可持续发展。</w:t>
      </w:r>
    </w:p>
    <w:p>
      <w:pPr>
        <w:ind w:firstLine="480"/>
        <w:jc w:val="left"/>
        <w:rPr>
          <w:sz w:val="24"/>
        </w:rPr>
      </w:pPr>
      <w:r>
        <w:rPr>
          <w:sz w:val="24"/>
        </w:rPr>
        <w:t>（3）地下管线数据治理与共享的有效手段。地下管线数据涉及多部门、多领域，统一数据标准才能健全数据共享供需对接机制，有效解决地下管线</w:t>
      </w:r>
      <w:r>
        <w:rPr>
          <w:rFonts w:hint="eastAsia"/>
          <w:sz w:val="24"/>
        </w:rPr>
        <w:t>数据</w:t>
      </w:r>
      <w:r>
        <w:rPr>
          <w:sz w:val="24"/>
        </w:rPr>
        <w:t>资源互通难</w:t>
      </w:r>
      <w:r>
        <w:rPr>
          <w:rFonts w:hint="eastAsia"/>
          <w:sz w:val="24"/>
        </w:rPr>
        <w:t>、</w:t>
      </w:r>
      <w:r>
        <w:rPr>
          <w:sz w:val="24"/>
        </w:rPr>
        <w:t>共享难</w:t>
      </w:r>
      <w:r>
        <w:rPr>
          <w:rFonts w:hint="eastAsia"/>
          <w:sz w:val="24"/>
        </w:rPr>
        <w:t>等难题</w:t>
      </w:r>
      <w:r>
        <w:rPr>
          <w:sz w:val="24"/>
        </w:rPr>
        <w:t>，确保地下管线数据能够跨区域</w:t>
      </w:r>
      <w:r>
        <w:rPr>
          <w:rFonts w:hint="eastAsia"/>
          <w:sz w:val="24"/>
        </w:rPr>
        <w:t>、</w:t>
      </w:r>
      <w:r>
        <w:rPr>
          <w:sz w:val="24"/>
        </w:rPr>
        <w:t>跨部门、跨层级</w:t>
      </w:r>
      <w:r>
        <w:rPr>
          <w:rFonts w:hint="eastAsia"/>
          <w:sz w:val="24"/>
        </w:rPr>
        <w:t>，进行</w:t>
      </w:r>
      <w:r>
        <w:rPr>
          <w:sz w:val="24"/>
        </w:rPr>
        <w:t>实时、动态共享，通过网络通、业务通、数据通，实现地下管线数据采集、资料管理、应用分析、数据更新、工程管理、数据共享的全生命周期管理。</w:t>
      </w:r>
    </w:p>
    <w:p>
      <w:pPr>
        <w:pStyle w:val="5"/>
        <w:spacing w:before="120" w:after="120" w:line="360" w:lineRule="auto"/>
        <w:ind w:firstLine="0" w:firstLineChars="0"/>
        <w:rPr>
          <w:rFonts w:ascii="宋体" w:hAnsi="宋体" w:eastAsia="宋体"/>
          <w:sz w:val="24"/>
          <w:szCs w:val="24"/>
          <w:lang w:val="zh-CN"/>
        </w:rPr>
      </w:pPr>
      <w:r>
        <w:rPr>
          <w:rFonts w:hint="eastAsia" w:ascii="宋体" w:hAnsi="宋体" w:eastAsia="宋体"/>
          <w:sz w:val="24"/>
          <w:szCs w:val="24"/>
          <w:lang w:val="zh-CN"/>
        </w:rPr>
        <w:t>1.2</w:t>
      </w:r>
      <w:r>
        <w:rPr>
          <w:rFonts w:ascii="宋体" w:hAnsi="宋体" w:eastAsia="宋体"/>
          <w:sz w:val="24"/>
          <w:szCs w:val="24"/>
          <w:lang w:val="zh-CN"/>
        </w:rPr>
        <w:t>.</w:t>
      </w:r>
      <w:r>
        <w:rPr>
          <w:rFonts w:hint="eastAsia" w:ascii="宋体" w:hAnsi="宋体" w:eastAsia="宋体"/>
          <w:sz w:val="24"/>
          <w:szCs w:val="24"/>
          <w:lang w:val="zh-CN"/>
        </w:rPr>
        <w:t>2 编制</w:t>
      </w:r>
      <w:r>
        <w:rPr>
          <w:rFonts w:ascii="宋体" w:hAnsi="宋体" w:eastAsia="宋体"/>
          <w:sz w:val="24"/>
          <w:szCs w:val="24"/>
          <w:lang w:val="zh-CN"/>
        </w:rPr>
        <w:t>意义</w:t>
      </w:r>
    </w:p>
    <w:p>
      <w:pPr>
        <w:ind w:firstLine="480"/>
        <w:jc w:val="left"/>
        <w:rPr>
          <w:sz w:val="24"/>
        </w:rPr>
      </w:pPr>
      <w:r>
        <w:rPr>
          <w:sz w:val="24"/>
        </w:rPr>
        <w:t>标准的编制将填补</w:t>
      </w:r>
      <w:r>
        <w:rPr>
          <w:rFonts w:hint="eastAsia"/>
          <w:sz w:val="24"/>
        </w:rPr>
        <w:t>南通市地下管线数据获取与建库</w:t>
      </w:r>
      <w:r>
        <w:rPr>
          <w:sz w:val="24"/>
        </w:rPr>
        <w:t>标准规范的空白。标准将为南通市</w:t>
      </w:r>
      <w:r>
        <w:rPr>
          <w:rFonts w:hint="eastAsia" w:ascii="宋体" w:hAnsi="宋体" w:cs="宋体"/>
          <w:sz w:val="24"/>
        </w:rPr>
        <w:t>地下管线数据获取、处理和入库的相关工作</w:t>
      </w:r>
      <w:r>
        <w:rPr>
          <w:sz w:val="24"/>
        </w:rPr>
        <w:t>提供指导和依据，</w:t>
      </w:r>
      <w:r>
        <w:rPr>
          <w:rFonts w:hint="eastAsia"/>
          <w:sz w:val="24"/>
        </w:rPr>
        <w:t>统一管数据标准、保障地下管线</w:t>
      </w:r>
      <w:r>
        <w:rPr>
          <w:sz w:val="24"/>
        </w:rPr>
        <w:t>数据质量</w:t>
      </w:r>
      <w:r>
        <w:rPr>
          <w:rFonts w:hint="eastAsia"/>
          <w:sz w:val="24"/>
        </w:rPr>
        <w:t>，</w:t>
      </w:r>
      <w:r>
        <w:rPr>
          <w:sz w:val="24"/>
        </w:rPr>
        <w:t>促进</w:t>
      </w:r>
      <w:r>
        <w:rPr>
          <w:rFonts w:hint="eastAsia"/>
          <w:sz w:val="24"/>
        </w:rPr>
        <w:t>行业管理</w:t>
      </w:r>
      <w:r>
        <w:rPr>
          <w:sz w:val="24"/>
        </w:rPr>
        <w:t>。</w:t>
      </w:r>
    </w:p>
    <w:p>
      <w:pPr>
        <w:ind w:firstLine="480"/>
        <w:jc w:val="left"/>
        <w:rPr>
          <w:sz w:val="24"/>
        </w:rPr>
      </w:pPr>
      <w:r>
        <w:rPr>
          <w:rFonts w:hint="eastAsia"/>
          <w:sz w:val="24"/>
        </w:rPr>
        <w:t>（</w:t>
      </w:r>
      <w:r>
        <w:rPr>
          <w:sz w:val="24"/>
        </w:rPr>
        <w:t>1）为城市运行管理“一网统管”提供数据支撑。本次标准的编制将填补</w:t>
      </w:r>
      <w:r>
        <w:rPr>
          <w:rFonts w:hint="eastAsia"/>
          <w:sz w:val="24"/>
        </w:rPr>
        <w:t>本市</w:t>
      </w:r>
      <w:r>
        <w:rPr>
          <w:sz w:val="24"/>
        </w:rPr>
        <w:t>地下管线数据规范的空白。具体意义如下：地下管线数据是城市运行管理服务相关信息系统的基础性数据，而建立信息系统的前提是要有一套规范的地下管线数据。建立全景地下管线数据标准可以从源头控制数据的规范性和属性的完整性，确保其能满足各类信息管理系统的各项功能需要，可以促进对城市运行管理服务状况的实时监测、动态分析、统筹协调、指挥监督和综合评价</w:t>
      </w:r>
      <w:r>
        <w:rPr>
          <w:rFonts w:hint="eastAsia"/>
          <w:sz w:val="24"/>
        </w:rPr>
        <w:t>。</w:t>
      </w:r>
    </w:p>
    <w:p>
      <w:pPr>
        <w:ind w:firstLine="480"/>
        <w:jc w:val="left"/>
        <w:rPr>
          <w:sz w:val="24"/>
        </w:rPr>
      </w:pPr>
      <w:r>
        <w:rPr>
          <w:sz w:val="24"/>
        </w:rPr>
        <w:t>（2）为地下管线数据实时动态更新提供基础。随着地下管线数量的成倍增长，地下管线数据的动态更新显得尤为重要，地下管线普查</w:t>
      </w:r>
      <w:r>
        <w:rPr>
          <w:rFonts w:hint="eastAsia"/>
          <w:sz w:val="24"/>
        </w:rPr>
        <w:t>成果</w:t>
      </w:r>
      <w:r>
        <w:rPr>
          <w:sz w:val="24"/>
        </w:rPr>
        <w:t>如不及时进行动态更新，普查成果将很快失去其</w:t>
      </w:r>
      <w:r>
        <w:rPr>
          <w:rFonts w:hint="eastAsia"/>
          <w:sz w:val="24"/>
        </w:rPr>
        <w:t>时效</w:t>
      </w:r>
      <w:r>
        <w:rPr>
          <w:sz w:val="24"/>
        </w:rPr>
        <w:t>性，甚至会对其使用者起到严重的误导作用。</w:t>
      </w:r>
      <w:r>
        <w:rPr>
          <w:rFonts w:hint="eastAsia"/>
          <w:sz w:val="24"/>
        </w:rPr>
        <w:t>为了解决上述问题</w:t>
      </w:r>
      <w:r>
        <w:rPr>
          <w:sz w:val="24"/>
        </w:rPr>
        <w:t>,</w:t>
      </w:r>
      <w:r>
        <w:rPr>
          <w:rFonts w:hint="eastAsia"/>
          <w:sz w:val="24"/>
        </w:rPr>
        <w:t>必须实行</w:t>
      </w:r>
      <w:r>
        <w:rPr>
          <w:sz w:val="24"/>
        </w:rPr>
        <w:t>地下管线数据的动态更新</w:t>
      </w:r>
      <w:r>
        <w:rPr>
          <w:rFonts w:hint="eastAsia"/>
          <w:sz w:val="24"/>
        </w:rPr>
        <w:t>制度。但是，</w:t>
      </w:r>
      <w:r>
        <w:rPr>
          <w:sz w:val="24"/>
        </w:rPr>
        <w:t>地下管线数据动态更新往往依赖于定期的补测补绘和地下管线竣工数据</w:t>
      </w:r>
      <w:r>
        <w:rPr>
          <w:rFonts w:hint="eastAsia"/>
          <w:sz w:val="24"/>
        </w:rPr>
        <w:t>汇交</w:t>
      </w:r>
      <w:r>
        <w:rPr>
          <w:sz w:val="24"/>
        </w:rPr>
        <w:t>等手段，这就决定了地下管线动态更新数据来源的多样性</w:t>
      </w:r>
      <w:r>
        <w:rPr>
          <w:rFonts w:hint="eastAsia"/>
          <w:sz w:val="24"/>
        </w:rPr>
        <w:t>，所以必须要有一个统一的数据标准</w:t>
      </w:r>
      <w:r>
        <w:rPr>
          <w:sz w:val="24"/>
        </w:rPr>
        <w:t>，来规范不同来源的地下管线数据，</w:t>
      </w:r>
      <w:r>
        <w:rPr>
          <w:rFonts w:hint="eastAsia"/>
          <w:sz w:val="24"/>
        </w:rPr>
        <w:t>以实现多来源地下管线数据融合更新及</w:t>
      </w:r>
      <w:r>
        <w:rPr>
          <w:sz w:val="24"/>
        </w:rPr>
        <w:t>动态管理。</w:t>
      </w:r>
    </w:p>
    <w:p>
      <w:pPr>
        <w:ind w:firstLine="480"/>
        <w:jc w:val="left"/>
        <w:rPr>
          <w:sz w:val="24"/>
        </w:rPr>
      </w:pPr>
      <w:r>
        <w:rPr>
          <w:sz w:val="24"/>
        </w:rPr>
        <w:t>（3）为地下管线数据的利用提供标准。地下管线数据标准化是实现数据对外提供和利用</w:t>
      </w:r>
      <w:r>
        <w:rPr>
          <w:rFonts w:hint="eastAsia"/>
          <w:sz w:val="24"/>
        </w:rPr>
        <w:t>的前提。</w:t>
      </w:r>
      <w:r>
        <w:rPr>
          <w:sz w:val="24"/>
        </w:rPr>
        <w:t>地下管线数据能满足城市规划、管网运营、抢险救灾</w:t>
      </w:r>
      <w:r>
        <w:rPr>
          <w:rFonts w:hint="eastAsia"/>
          <w:sz w:val="24"/>
        </w:rPr>
        <w:t>、市域治理</w:t>
      </w:r>
      <w:r>
        <w:rPr>
          <w:sz w:val="24"/>
        </w:rPr>
        <w:t>等多方面的应用需求</w:t>
      </w:r>
      <w:r>
        <w:rPr>
          <w:rFonts w:hint="eastAsia"/>
          <w:sz w:val="24"/>
        </w:rPr>
        <w:t>，</w:t>
      </w:r>
      <w:r>
        <w:rPr>
          <w:sz w:val="24"/>
        </w:rPr>
        <w:t>地下管线数据还常应用</w:t>
      </w:r>
      <w:r>
        <w:rPr>
          <w:rFonts w:hint="eastAsia"/>
          <w:sz w:val="24"/>
        </w:rPr>
        <w:t>于</w:t>
      </w:r>
      <w:r>
        <w:rPr>
          <w:sz w:val="24"/>
        </w:rPr>
        <w:t>地下管线</w:t>
      </w:r>
      <w:r>
        <w:rPr>
          <w:rFonts w:hint="eastAsia"/>
          <w:sz w:val="24"/>
        </w:rPr>
        <w:t>本身</w:t>
      </w:r>
      <w:r>
        <w:rPr>
          <w:sz w:val="24"/>
        </w:rPr>
        <w:t>的规划、设计、施工</w:t>
      </w:r>
      <w:r>
        <w:rPr>
          <w:rFonts w:hint="eastAsia"/>
          <w:sz w:val="24"/>
        </w:rPr>
        <w:t>、管理</w:t>
      </w:r>
      <w:r>
        <w:rPr>
          <w:sz w:val="24"/>
        </w:rPr>
        <w:t>等环节，因此还应当</w:t>
      </w:r>
      <w:r>
        <w:rPr>
          <w:rFonts w:hint="eastAsia"/>
          <w:sz w:val="24"/>
        </w:rPr>
        <w:t>用统一的数据标准来</w:t>
      </w:r>
      <w:r>
        <w:rPr>
          <w:sz w:val="24"/>
        </w:rPr>
        <w:t>确保地下管线数据与规划</w:t>
      </w:r>
      <w:r>
        <w:rPr>
          <w:rFonts w:hint="eastAsia"/>
          <w:sz w:val="24"/>
        </w:rPr>
        <w:t>、</w:t>
      </w:r>
      <w:r>
        <w:rPr>
          <w:sz w:val="24"/>
        </w:rPr>
        <w:t>设计、建设</w:t>
      </w:r>
      <w:r>
        <w:rPr>
          <w:rFonts w:hint="eastAsia"/>
          <w:sz w:val="24"/>
        </w:rPr>
        <w:t>及运营管理数据</w:t>
      </w:r>
      <w:r>
        <w:rPr>
          <w:sz w:val="24"/>
        </w:rPr>
        <w:t>的对接。</w:t>
      </w:r>
    </w:p>
    <w:p>
      <w:pPr>
        <w:ind w:firstLine="480"/>
        <w:jc w:val="left"/>
        <w:rPr>
          <w:sz w:val="24"/>
        </w:rPr>
      </w:pPr>
      <w:r>
        <w:rPr>
          <w:sz w:val="24"/>
        </w:rPr>
        <w:t>（4）是实现智慧管网大数据建设的前提。“智慧管网”的建设是对管线信息化的深入应用，达到管线智能化管理的目的，以解决城市内涝、爆管</w:t>
      </w:r>
      <w:r>
        <w:rPr>
          <w:rFonts w:hint="eastAsia"/>
          <w:sz w:val="24"/>
        </w:rPr>
        <w:t>泄漏</w:t>
      </w:r>
      <w:r>
        <w:rPr>
          <w:sz w:val="24"/>
        </w:rPr>
        <w:t>、</w:t>
      </w:r>
      <w:r>
        <w:rPr>
          <w:rFonts w:hint="eastAsia"/>
          <w:sz w:val="24"/>
        </w:rPr>
        <w:t>路面塌陷、</w:t>
      </w:r>
      <w:r>
        <w:rPr>
          <w:sz w:val="24"/>
        </w:rPr>
        <w:t>井盖丢失等社会热点问题，并实现与“智慧城市”相关信息化建设的共享交换。建立智慧管网是对地下管线数据更深层次的信息挖掘和利用，其中涉及到了数据信息提取、共享、评估以及信息接入等多种操作。因此，必须有一套标准，来规范地下管线数据，确保其包含建设智慧管网建设所需要的全部信息，能够达到信息共享的标准，并且与实时采集到的</w:t>
      </w:r>
      <w:r>
        <w:rPr>
          <w:rFonts w:hint="eastAsia"/>
          <w:sz w:val="24"/>
        </w:rPr>
        <w:t>物联网</w:t>
      </w:r>
      <w:r>
        <w:rPr>
          <w:sz w:val="24"/>
        </w:rPr>
        <w:t>监控数据实现对接。规范管理，标准先行，南通市根据自己的实际情况，结合国家标准制定本地的数据标准，规范二维、三维地下管线数据，提高利用度，提升地下管线数据的深层次应用。</w:t>
      </w:r>
    </w:p>
    <w:p>
      <w:pPr>
        <w:ind w:firstLine="480"/>
        <w:jc w:val="left"/>
        <w:rPr>
          <w:sz w:val="24"/>
        </w:rPr>
      </w:pPr>
      <w:r>
        <w:rPr>
          <w:sz w:val="24"/>
        </w:rPr>
        <w:t>总之，本次标准编制，是贯彻落实习近平总书记重要指示批示精神和党中央、国务院决策部署的重要举措，是系统提升城市风险防控能力和精细化管理水平的重要途径，是运用数字技术推动城市管理手段、管理模式、管理理念创新的重要载体，对促进城市高质量发展、推进城市治理体系和治理能力现代化具有重要意义。</w:t>
      </w:r>
    </w:p>
    <w:p>
      <w:pPr>
        <w:pStyle w:val="4"/>
        <w:spacing w:before="120" w:after="120" w:line="360" w:lineRule="auto"/>
        <w:ind w:firstLine="0" w:firstLineChars="0"/>
        <w:rPr>
          <w:rFonts w:ascii="黑体" w:hAnsi="黑体" w:eastAsia="黑体"/>
          <w:b w:val="0"/>
          <w:sz w:val="24"/>
          <w:szCs w:val="24"/>
          <w:lang w:val="zh-CN"/>
        </w:rPr>
      </w:pPr>
      <w:bookmarkStart w:id="3" w:name="_Toc133585997"/>
      <w:r>
        <w:rPr>
          <w:rFonts w:ascii="黑体" w:hAnsi="黑体" w:eastAsia="黑体"/>
          <w:b w:val="0"/>
          <w:sz w:val="24"/>
          <w:szCs w:val="24"/>
          <w:lang w:val="zh-CN"/>
        </w:rPr>
        <w:t xml:space="preserve">1.3 </w:t>
      </w:r>
      <w:r>
        <w:rPr>
          <w:rFonts w:hint="eastAsia" w:ascii="黑体" w:hAnsi="黑体" w:eastAsia="黑体"/>
          <w:b w:val="0"/>
          <w:sz w:val="24"/>
          <w:szCs w:val="24"/>
          <w:lang w:val="zh-CN"/>
        </w:rPr>
        <w:t>可行性</w:t>
      </w:r>
      <w:bookmarkEnd w:id="3"/>
    </w:p>
    <w:p>
      <w:pPr>
        <w:ind w:firstLine="480"/>
        <w:jc w:val="left"/>
        <w:rPr>
          <w:sz w:val="24"/>
        </w:rPr>
      </w:pPr>
      <w:r>
        <w:rPr>
          <w:sz w:val="24"/>
        </w:rPr>
        <w:t>（1）研究基础和前期研究成果</w:t>
      </w:r>
    </w:p>
    <w:p>
      <w:pPr>
        <w:ind w:firstLine="480"/>
        <w:jc w:val="left"/>
        <w:rPr>
          <w:sz w:val="24"/>
        </w:rPr>
      </w:pPr>
      <w:r>
        <w:rPr>
          <w:sz w:val="24"/>
        </w:rPr>
        <w:t>本项目的提出及归口管理部门为南通市自然资源和规划局，相关主要职责有:负责制定市政与交通建设涉及的空间规划政策、标准、规范，统筹市政与交通设施对空间资源利用的需求，负责城市地下空间开发利用和地下管线的规划管理工作。负责测绘地理信息管理工作，负责全市基础测绘和测绘行业管理。</w:t>
      </w:r>
    </w:p>
    <w:p>
      <w:pPr>
        <w:ind w:firstLine="480"/>
        <w:jc w:val="left"/>
        <w:rPr>
          <w:sz w:val="24"/>
        </w:rPr>
      </w:pPr>
      <w:r>
        <w:rPr>
          <w:rFonts w:hint="eastAsia"/>
          <w:sz w:val="24"/>
        </w:rPr>
        <w:t>本标准编制单位</w:t>
      </w:r>
      <w:r>
        <w:rPr>
          <w:sz w:val="24"/>
        </w:rPr>
        <w:t>南通市测绘院有限公司长期从事地下管线数据</w:t>
      </w:r>
      <w:r>
        <w:rPr>
          <w:rFonts w:hint="eastAsia"/>
          <w:sz w:val="24"/>
        </w:rPr>
        <w:t>获取</w:t>
      </w:r>
      <w:r>
        <w:rPr>
          <w:sz w:val="24"/>
        </w:rPr>
        <w:t>、更新、建库</w:t>
      </w:r>
      <w:r>
        <w:rPr>
          <w:rFonts w:hint="eastAsia"/>
          <w:sz w:val="24"/>
        </w:rPr>
        <w:t>等</w:t>
      </w:r>
      <w:r>
        <w:rPr>
          <w:sz w:val="24"/>
        </w:rPr>
        <w:t>工作，</w:t>
      </w:r>
      <w:r>
        <w:rPr>
          <w:rFonts w:hint="eastAsia"/>
          <w:sz w:val="24"/>
        </w:rPr>
        <w:t>是中国测绘学会地下管线专业委员会会员单位，在行业内具有知名度。参与编制了《城市综合管廊工程测量规范》(</w:t>
      </w:r>
      <w:r>
        <w:rPr>
          <w:sz w:val="24"/>
        </w:rPr>
        <w:t>T/CSGPC 014-2023)</w:t>
      </w:r>
      <w:r>
        <w:rPr>
          <w:rFonts w:hint="eastAsia"/>
          <w:sz w:val="24"/>
        </w:rPr>
        <w:t>，编制了</w:t>
      </w:r>
      <w:r>
        <w:rPr>
          <w:sz w:val="24"/>
        </w:rPr>
        <w:t>内部版的《南通市地下管线数据标准》，熟知国家和行业关于地下</w:t>
      </w:r>
      <w:r>
        <w:rPr>
          <w:rFonts w:hint="eastAsia"/>
          <w:sz w:val="24"/>
        </w:rPr>
        <w:t>管线</w:t>
      </w:r>
      <w:r>
        <w:rPr>
          <w:sz w:val="24"/>
        </w:rPr>
        <w:t>的技术要求</w:t>
      </w:r>
      <w:r>
        <w:rPr>
          <w:rFonts w:hint="eastAsia"/>
          <w:sz w:val="24"/>
        </w:rPr>
        <w:t>，</w:t>
      </w:r>
      <w:r>
        <w:rPr>
          <w:sz w:val="24"/>
        </w:rPr>
        <w:t>熟悉南通市地下管线</w:t>
      </w:r>
      <w:r>
        <w:rPr>
          <w:rFonts w:hint="eastAsia"/>
          <w:sz w:val="24"/>
        </w:rPr>
        <w:t>的总体建设和运行情况</w:t>
      </w:r>
      <w:r>
        <w:rPr>
          <w:sz w:val="24"/>
        </w:rPr>
        <w:t>，有较好的研究基础和实践经验。另外，南通市测绘院有限公司自主研发了三维智慧地下管线系统，集成了物联网等相关数据，充分考虑了安全数据库建设要求，</w:t>
      </w:r>
      <w:r>
        <w:rPr>
          <w:rFonts w:hint="eastAsia"/>
          <w:sz w:val="24"/>
        </w:rPr>
        <w:t>对</w:t>
      </w:r>
      <w:r>
        <w:rPr>
          <w:sz w:val="24"/>
        </w:rPr>
        <w:t>地下管线“基础数据+业务数据+安全数据”做了研究，为本次标准编制，提供了技术保障。2020年南通市测绘院有限公司与南通市自然资源和规划局共同编制了南通市地方标准《1：500 1：10001：2000自然资源和规划地形基础要素数据规范》DB3206/T 1006-2020)，2020年12月31日实施，为本次标准编制提供了经验保障。</w:t>
      </w:r>
    </w:p>
    <w:p>
      <w:pPr>
        <w:ind w:firstLine="480"/>
        <w:jc w:val="left"/>
        <w:rPr>
          <w:sz w:val="24"/>
        </w:rPr>
      </w:pPr>
      <w:r>
        <w:rPr>
          <w:rFonts w:hint="eastAsia"/>
          <w:sz w:val="24"/>
        </w:rPr>
        <w:t>（</w:t>
      </w:r>
      <w:r>
        <w:rPr>
          <w:sz w:val="24"/>
        </w:rPr>
        <w:t>2</w:t>
      </w:r>
      <w:r>
        <w:rPr>
          <w:rFonts w:hint="eastAsia"/>
          <w:sz w:val="24"/>
        </w:rPr>
        <w:t>）</w:t>
      </w:r>
      <w:r>
        <w:rPr>
          <w:sz w:val="24"/>
        </w:rPr>
        <w:t>可操作性</w:t>
      </w:r>
    </w:p>
    <w:p>
      <w:pPr>
        <w:ind w:firstLine="480"/>
        <w:jc w:val="left"/>
        <w:rPr>
          <w:sz w:val="24"/>
        </w:rPr>
      </w:pPr>
      <w:r>
        <w:rPr>
          <w:sz w:val="24"/>
        </w:rPr>
        <w:t>地下管线与自然资源、市政园林、物联感知、大数据等相关数据要素密切相关性，是以“规划”为基础的相关行业要素的扩张与集成，实现在同一套数据</w:t>
      </w:r>
      <w:r>
        <w:rPr>
          <w:rFonts w:hint="eastAsia"/>
          <w:sz w:val="24"/>
        </w:rPr>
        <w:t>标准</w:t>
      </w:r>
      <w:r>
        <w:rPr>
          <w:sz w:val="24"/>
        </w:rPr>
        <w:t>中整合相关要素和基础要素的条件。</w:t>
      </w:r>
    </w:p>
    <w:p>
      <w:pPr>
        <w:ind w:firstLine="480"/>
        <w:jc w:val="left"/>
        <w:rPr>
          <w:sz w:val="24"/>
        </w:rPr>
      </w:pPr>
      <w:r>
        <w:rPr>
          <w:sz w:val="24"/>
        </w:rPr>
        <w:t>标准编制将遵循国家有关法律要求，坚持“科学性、先进性、通用性、规范性、实用性、成长性、开放性、新型技术性”原则，厘清现有数据标准间的关系，规范数据要求和融合标准，形成具有南通地方特色的全景三维地下管线数据库。</w:t>
      </w:r>
    </w:p>
    <w:p>
      <w:pPr>
        <w:ind w:firstLine="480"/>
        <w:jc w:val="left"/>
        <w:rPr>
          <w:sz w:val="24"/>
        </w:rPr>
      </w:pPr>
      <w:r>
        <w:rPr>
          <w:rFonts w:hint="eastAsia"/>
          <w:sz w:val="24"/>
        </w:rPr>
        <w:t>（</w:t>
      </w:r>
      <w:r>
        <w:rPr>
          <w:sz w:val="24"/>
        </w:rPr>
        <w:t>3</w:t>
      </w:r>
      <w:r>
        <w:rPr>
          <w:rFonts w:hint="eastAsia"/>
          <w:sz w:val="24"/>
        </w:rPr>
        <w:t>）</w:t>
      </w:r>
      <w:r>
        <w:rPr>
          <w:sz w:val="24"/>
        </w:rPr>
        <w:t>经济合理性</w:t>
      </w:r>
    </w:p>
    <w:p>
      <w:pPr>
        <w:ind w:firstLine="480"/>
        <w:jc w:val="left"/>
        <w:rPr>
          <w:sz w:val="24"/>
        </w:rPr>
      </w:pPr>
      <w:r>
        <w:rPr>
          <w:sz w:val="24"/>
        </w:rPr>
        <w:t>将免去多部门的多次采集与数据建库</w:t>
      </w:r>
      <w:r>
        <w:rPr>
          <w:rFonts w:hint="eastAsia"/>
          <w:sz w:val="24"/>
        </w:rPr>
        <w:t>工作</w:t>
      </w:r>
      <w:r>
        <w:rPr>
          <w:sz w:val="24"/>
        </w:rPr>
        <w:t>，数据采集成本得到集约化。结合南通市实际的数据采集建库项目，同步开展标准的试验、验证、优化工作，能够提升标准的适用性，并同时降低专门的检验试验成本。</w:t>
      </w:r>
    </w:p>
    <w:p>
      <w:pPr>
        <w:pStyle w:val="4"/>
        <w:spacing w:before="120" w:after="120" w:line="360" w:lineRule="auto"/>
        <w:ind w:firstLine="0" w:firstLineChars="0"/>
        <w:rPr>
          <w:rFonts w:ascii="黑体" w:hAnsi="黑体" w:eastAsia="黑体"/>
          <w:b w:val="0"/>
          <w:sz w:val="24"/>
          <w:szCs w:val="24"/>
          <w:lang w:val="zh-CN"/>
        </w:rPr>
      </w:pPr>
      <w:bookmarkStart w:id="4" w:name="_Toc133585998"/>
      <w:r>
        <w:rPr>
          <w:rFonts w:ascii="黑体" w:hAnsi="黑体" w:eastAsia="黑体"/>
          <w:b w:val="0"/>
          <w:sz w:val="24"/>
          <w:szCs w:val="24"/>
          <w:lang w:val="zh-CN"/>
        </w:rPr>
        <w:t xml:space="preserve">1.4 </w:t>
      </w:r>
      <w:r>
        <w:rPr>
          <w:rFonts w:hint="eastAsia" w:ascii="黑体" w:hAnsi="黑体" w:eastAsia="黑体"/>
          <w:b w:val="0"/>
          <w:sz w:val="24"/>
          <w:szCs w:val="24"/>
          <w:lang w:val="zh-CN"/>
        </w:rPr>
        <w:t>预期</w:t>
      </w:r>
      <w:r>
        <w:rPr>
          <w:rFonts w:ascii="黑体" w:hAnsi="黑体" w:eastAsia="黑体"/>
          <w:b w:val="0"/>
          <w:sz w:val="24"/>
          <w:szCs w:val="24"/>
          <w:lang w:val="zh-CN"/>
        </w:rPr>
        <w:t>经济社会效益</w:t>
      </w:r>
      <w:r>
        <w:rPr>
          <w:rFonts w:hint="eastAsia" w:ascii="黑体" w:hAnsi="黑体" w:eastAsia="黑体"/>
          <w:b w:val="0"/>
          <w:sz w:val="24"/>
          <w:szCs w:val="24"/>
          <w:lang w:val="zh-CN"/>
        </w:rPr>
        <w:t>分析</w:t>
      </w:r>
      <w:bookmarkEnd w:id="4"/>
    </w:p>
    <w:p>
      <w:pPr>
        <w:ind w:firstLine="480"/>
        <w:jc w:val="left"/>
        <w:rPr>
          <w:sz w:val="24"/>
        </w:rPr>
      </w:pPr>
      <w:r>
        <w:rPr>
          <w:sz w:val="24"/>
        </w:rPr>
        <w:t>（1）经济效益</w:t>
      </w:r>
    </w:p>
    <w:p>
      <w:pPr>
        <w:ind w:firstLine="480"/>
        <w:jc w:val="left"/>
        <w:rPr>
          <w:sz w:val="24"/>
        </w:rPr>
      </w:pPr>
      <w:r>
        <w:rPr>
          <w:sz w:val="24"/>
        </w:rPr>
        <w:t>本次标准编制遵循“一次采集、部门通用、节约增效”的原则,统一建库、成果融合，有助于免去重复采集、多次采集的过程，有助于避免格式不一、精度不符的问题，实现数据充分共享。根据10种权属地下管线数据，统一标准一次建库，预估每年可节省资金5000万以上。</w:t>
      </w:r>
    </w:p>
    <w:p>
      <w:pPr>
        <w:ind w:firstLine="480"/>
        <w:jc w:val="left"/>
        <w:rPr>
          <w:sz w:val="24"/>
        </w:rPr>
      </w:pPr>
      <w:r>
        <w:rPr>
          <w:sz w:val="24"/>
        </w:rPr>
        <w:t>（2）社会效益</w:t>
      </w:r>
    </w:p>
    <w:p>
      <w:pPr>
        <w:ind w:firstLine="480"/>
        <w:jc w:val="left"/>
        <w:rPr>
          <w:sz w:val="24"/>
        </w:rPr>
      </w:pPr>
      <w:r>
        <w:rPr>
          <w:sz w:val="24"/>
        </w:rPr>
        <w:t>一是提升科学规划水平。发挥地下管线数据支撑作用，辅助政府部门合理规划管线布局、严格审批规划退让要求；二是为智慧城市提供数据保证。标准统一可实现地下管线全数字化移交、全智能化运营、全业务领域覆盖、全生命周期管理，实现数据、信息与知识的互联互通，实现管网的智能化运营。三是弥补市政基础设施短板。管线数据标准统一，为管网更新改造、城镇污水处理提质增效提供、防洪排涝、全域海绵城市建设、易淹易涝片区整治等提供必要保障，助力推动城市生命线安全工程建设，建立城市水、电、气、桥梁、综合管廊、地下交通设施等风险监测、分析预警、联动处置的系统和机制，提升城市综合防灾减灾能力。四是满足人民对美好生活的向往。地下管线与老百姓的生活息息相关，地下管线数据标准化是地下管线安全治理的前提，为地下管线数据治理作为出发点和落脚点</w:t>
      </w:r>
      <w:r>
        <w:rPr>
          <w:rFonts w:hint="eastAsia"/>
          <w:sz w:val="24"/>
        </w:rPr>
        <w:t>。</w:t>
      </w:r>
    </w:p>
    <w:p>
      <w:pPr>
        <w:pStyle w:val="3"/>
        <w:spacing w:before="0" w:after="0" w:line="360" w:lineRule="auto"/>
        <w:ind w:firstLine="0" w:firstLineChars="0"/>
        <w:rPr>
          <w:rFonts w:ascii="黑体" w:hAnsi="黑体" w:eastAsia="黑体"/>
          <w:b w:val="0"/>
          <w:sz w:val="28"/>
          <w:szCs w:val="28"/>
          <w:lang w:val="zh-CN"/>
        </w:rPr>
      </w:pPr>
      <w:bookmarkStart w:id="5" w:name="_Toc133585999"/>
      <w:r>
        <w:rPr>
          <w:rFonts w:ascii="黑体" w:hAnsi="黑体" w:eastAsia="黑体"/>
          <w:b w:val="0"/>
          <w:sz w:val="28"/>
          <w:szCs w:val="28"/>
          <w:lang w:val="zh-CN"/>
        </w:rPr>
        <w:t>2</w:t>
      </w:r>
      <w:r>
        <w:rPr>
          <w:rFonts w:hint="eastAsia" w:ascii="黑体" w:hAnsi="黑体" w:eastAsia="黑体"/>
          <w:b w:val="0"/>
          <w:sz w:val="28"/>
          <w:szCs w:val="28"/>
          <w:lang w:val="zh-CN"/>
        </w:rPr>
        <w:t>．任务来源</w:t>
      </w:r>
      <w:bookmarkEnd w:id="5"/>
    </w:p>
    <w:p>
      <w:pPr>
        <w:ind w:firstLine="480"/>
        <w:jc w:val="left"/>
        <w:rPr>
          <w:sz w:val="24"/>
          <w:szCs w:val="21"/>
        </w:rPr>
      </w:pPr>
      <w:r>
        <w:rPr>
          <w:sz w:val="24"/>
          <w:szCs w:val="21"/>
        </w:rPr>
        <w:t>2022</w:t>
      </w:r>
      <w:r>
        <w:rPr>
          <w:rFonts w:hint="eastAsia"/>
          <w:sz w:val="24"/>
          <w:szCs w:val="21"/>
        </w:rPr>
        <w:t>年</w:t>
      </w:r>
      <w:r>
        <w:rPr>
          <w:sz w:val="24"/>
          <w:szCs w:val="21"/>
        </w:rPr>
        <w:t>8月15日，南通市市场监督管理局发文</w:t>
      </w:r>
      <w:r>
        <w:rPr>
          <w:rFonts w:hint="eastAsia"/>
          <w:sz w:val="24"/>
          <w:szCs w:val="21"/>
        </w:rPr>
        <w:t>（通</w:t>
      </w:r>
      <w:r>
        <w:rPr>
          <w:sz w:val="24"/>
          <w:szCs w:val="21"/>
        </w:rPr>
        <w:t>市监发</w:t>
      </w:r>
      <w:r>
        <w:rPr>
          <w:rFonts w:hint="eastAsia"/>
          <w:sz w:val="24"/>
          <w:szCs w:val="21"/>
        </w:rPr>
        <w:t>[</w:t>
      </w:r>
      <w:r>
        <w:rPr>
          <w:sz w:val="24"/>
          <w:szCs w:val="21"/>
        </w:rPr>
        <w:t>2022</w:t>
      </w:r>
      <w:r>
        <w:rPr>
          <w:rFonts w:hint="eastAsia"/>
          <w:sz w:val="24"/>
          <w:szCs w:val="21"/>
        </w:rPr>
        <w:t>]</w:t>
      </w:r>
      <w:r>
        <w:rPr>
          <w:sz w:val="24"/>
          <w:szCs w:val="21"/>
        </w:rPr>
        <w:t>104</w:t>
      </w:r>
      <w:r>
        <w:rPr>
          <w:rFonts w:hint="eastAsia"/>
          <w:sz w:val="24"/>
          <w:szCs w:val="21"/>
        </w:rPr>
        <w:t>号）</w:t>
      </w:r>
      <w:r>
        <w:rPr>
          <w:sz w:val="24"/>
          <w:szCs w:val="21"/>
        </w:rPr>
        <w:t>，将本标准编制工作列入2022年度南通市地方标准编制计划</w:t>
      </w:r>
      <w:r>
        <w:rPr>
          <w:rFonts w:hint="eastAsia"/>
          <w:sz w:val="24"/>
          <w:szCs w:val="21"/>
        </w:rPr>
        <w:t>（立项</w:t>
      </w:r>
      <w:r>
        <w:rPr>
          <w:sz w:val="24"/>
          <w:szCs w:val="21"/>
        </w:rPr>
        <w:t>号为NT2022-02）。</w:t>
      </w:r>
      <w:r>
        <w:rPr>
          <w:rFonts w:hint="eastAsia"/>
          <w:sz w:val="24"/>
          <w:szCs w:val="21"/>
        </w:rPr>
        <w:t>项目</w:t>
      </w:r>
      <w:r>
        <w:rPr>
          <w:sz w:val="24"/>
          <w:szCs w:val="21"/>
        </w:rPr>
        <w:t>承担单位南通市测绘院有限公司，归口单位南通市自然资源和规划局。</w:t>
      </w:r>
    </w:p>
    <w:p>
      <w:pPr>
        <w:pStyle w:val="3"/>
        <w:spacing w:before="0" w:after="0" w:line="360" w:lineRule="auto"/>
        <w:ind w:firstLine="0" w:firstLineChars="0"/>
        <w:rPr>
          <w:rFonts w:ascii="黑体" w:hAnsi="黑体" w:eastAsia="黑体"/>
          <w:b w:val="0"/>
          <w:sz w:val="28"/>
          <w:szCs w:val="28"/>
          <w:lang w:val="zh-CN"/>
        </w:rPr>
      </w:pPr>
      <w:bookmarkStart w:id="6" w:name="_Toc133586000"/>
      <w:r>
        <w:rPr>
          <w:rFonts w:ascii="黑体" w:hAnsi="黑体" w:eastAsia="黑体"/>
          <w:b w:val="0"/>
          <w:sz w:val="28"/>
          <w:szCs w:val="28"/>
          <w:lang w:val="zh-CN"/>
        </w:rPr>
        <w:t>3</w:t>
      </w:r>
      <w:r>
        <w:rPr>
          <w:rFonts w:hint="eastAsia" w:ascii="黑体" w:hAnsi="黑体" w:eastAsia="黑体"/>
          <w:b w:val="0"/>
          <w:sz w:val="28"/>
          <w:szCs w:val="28"/>
          <w:lang w:val="zh-CN"/>
        </w:rPr>
        <w:t>．编制</w:t>
      </w:r>
      <w:r>
        <w:rPr>
          <w:rFonts w:ascii="黑体" w:hAnsi="黑体" w:eastAsia="黑体"/>
          <w:b w:val="0"/>
          <w:sz w:val="28"/>
          <w:szCs w:val="28"/>
          <w:lang w:val="zh-CN"/>
        </w:rPr>
        <w:t>过程</w:t>
      </w:r>
      <w:bookmarkEnd w:id="6"/>
    </w:p>
    <w:p>
      <w:pPr>
        <w:ind w:firstLine="480"/>
        <w:jc w:val="left"/>
        <w:rPr>
          <w:sz w:val="24"/>
          <w:szCs w:val="21"/>
        </w:rPr>
      </w:pPr>
      <w:r>
        <w:rPr>
          <w:sz w:val="24"/>
          <w:szCs w:val="21"/>
        </w:rPr>
        <w:t>2022年4月</w:t>
      </w:r>
      <w:r>
        <w:rPr>
          <w:rFonts w:hint="eastAsia"/>
          <w:sz w:val="24"/>
          <w:szCs w:val="21"/>
        </w:rPr>
        <w:t>，</w:t>
      </w:r>
      <w:r>
        <w:rPr>
          <w:sz w:val="24"/>
          <w:szCs w:val="21"/>
        </w:rPr>
        <w:t>标准</w:t>
      </w:r>
      <w:r>
        <w:rPr>
          <w:rFonts w:hint="eastAsia"/>
          <w:sz w:val="24"/>
          <w:szCs w:val="21"/>
        </w:rPr>
        <w:t>立项</w:t>
      </w:r>
      <w:r>
        <w:rPr>
          <w:sz w:val="24"/>
          <w:szCs w:val="21"/>
        </w:rPr>
        <w:t>申请意见表初稿完成，编制组内部讨论于2022年5月形成</w:t>
      </w:r>
      <w:r>
        <w:rPr>
          <w:rFonts w:hint="eastAsia"/>
          <w:sz w:val="24"/>
          <w:szCs w:val="21"/>
        </w:rPr>
        <w:t>立项</w:t>
      </w:r>
      <w:r>
        <w:rPr>
          <w:sz w:val="24"/>
          <w:szCs w:val="21"/>
        </w:rPr>
        <w:t>申请表的终稿，并在此基础上开始规范草稿的编制工作；于2023年3月，完成标准初稿。规范编制过程中，编制组共参考规范15本，其中国家标准4本</w:t>
      </w:r>
      <w:r>
        <w:rPr>
          <w:rFonts w:hint="eastAsia"/>
          <w:sz w:val="24"/>
          <w:szCs w:val="21"/>
        </w:rPr>
        <w:t>、行业标准</w:t>
      </w:r>
      <w:r>
        <w:rPr>
          <w:sz w:val="24"/>
          <w:szCs w:val="21"/>
        </w:rPr>
        <w:t>6</w:t>
      </w:r>
      <w:r>
        <w:rPr>
          <w:rFonts w:hint="eastAsia"/>
          <w:sz w:val="24"/>
          <w:szCs w:val="21"/>
        </w:rPr>
        <w:t>本、</w:t>
      </w:r>
      <w:r>
        <w:rPr>
          <w:sz w:val="24"/>
          <w:szCs w:val="21"/>
        </w:rPr>
        <w:t>地方性标准3本</w:t>
      </w:r>
      <w:r>
        <w:rPr>
          <w:rFonts w:hint="eastAsia"/>
          <w:sz w:val="24"/>
          <w:szCs w:val="21"/>
        </w:rPr>
        <w:t>、团体标准2本</w:t>
      </w:r>
      <w:r>
        <w:rPr>
          <w:sz w:val="24"/>
          <w:szCs w:val="21"/>
        </w:rPr>
        <w:t>。</w:t>
      </w:r>
    </w:p>
    <w:p>
      <w:pPr>
        <w:ind w:firstLine="480"/>
        <w:jc w:val="left"/>
        <w:rPr>
          <w:sz w:val="24"/>
          <w:szCs w:val="21"/>
        </w:rPr>
      </w:pPr>
      <w:r>
        <w:rPr>
          <w:rFonts w:hint="eastAsia"/>
          <w:sz w:val="24"/>
          <w:szCs w:val="21"/>
        </w:rPr>
        <w:t>2</w:t>
      </w:r>
      <w:r>
        <w:rPr>
          <w:sz w:val="24"/>
          <w:szCs w:val="21"/>
        </w:rPr>
        <w:t>022</w:t>
      </w:r>
      <w:r>
        <w:rPr>
          <w:rFonts w:hint="eastAsia"/>
          <w:sz w:val="24"/>
          <w:szCs w:val="21"/>
        </w:rPr>
        <w:t>年</w:t>
      </w:r>
      <w:r>
        <w:rPr>
          <w:sz w:val="24"/>
          <w:szCs w:val="21"/>
        </w:rPr>
        <w:t>5</w:t>
      </w:r>
      <w:r>
        <w:rPr>
          <w:rFonts w:hint="eastAsia"/>
          <w:sz w:val="24"/>
          <w:szCs w:val="21"/>
        </w:rPr>
        <w:t>月完成立项申报书编写。</w:t>
      </w:r>
    </w:p>
    <w:p>
      <w:pPr>
        <w:ind w:firstLine="480"/>
        <w:jc w:val="left"/>
        <w:rPr>
          <w:sz w:val="24"/>
          <w:szCs w:val="21"/>
        </w:rPr>
      </w:pPr>
      <w:r>
        <w:rPr>
          <w:sz w:val="24"/>
          <w:szCs w:val="21"/>
        </w:rPr>
        <w:t>2022</w:t>
      </w:r>
      <w:r>
        <w:rPr>
          <w:rFonts w:hint="eastAsia"/>
          <w:sz w:val="24"/>
          <w:szCs w:val="21"/>
        </w:rPr>
        <w:t>月</w:t>
      </w:r>
      <w:r>
        <w:rPr>
          <w:sz w:val="24"/>
          <w:szCs w:val="21"/>
        </w:rPr>
        <w:t>8月15日，南通市市场监督管理局发文，将本标准编制工作列入2022年度南通市地方标准编制计划。</w:t>
      </w:r>
    </w:p>
    <w:p>
      <w:pPr>
        <w:ind w:firstLine="480"/>
        <w:jc w:val="left"/>
        <w:rPr>
          <w:sz w:val="24"/>
          <w:szCs w:val="21"/>
        </w:rPr>
      </w:pPr>
      <w:r>
        <w:rPr>
          <w:rFonts w:hint="eastAsia"/>
          <w:sz w:val="24"/>
          <w:szCs w:val="21"/>
        </w:rPr>
        <w:t>2</w:t>
      </w:r>
      <w:r>
        <w:rPr>
          <w:sz w:val="24"/>
          <w:szCs w:val="21"/>
        </w:rPr>
        <w:t>023</w:t>
      </w:r>
      <w:r>
        <w:rPr>
          <w:rFonts w:hint="eastAsia"/>
          <w:sz w:val="24"/>
          <w:szCs w:val="21"/>
        </w:rPr>
        <w:t>年</w:t>
      </w:r>
      <w:r>
        <w:rPr>
          <w:sz w:val="24"/>
          <w:szCs w:val="21"/>
        </w:rPr>
        <w:t>2</w:t>
      </w:r>
      <w:r>
        <w:rPr>
          <w:rFonts w:hint="eastAsia"/>
          <w:sz w:val="24"/>
          <w:szCs w:val="21"/>
        </w:rPr>
        <w:t>月，完成了标准初稿的编写。</w:t>
      </w:r>
    </w:p>
    <w:p>
      <w:pPr>
        <w:ind w:firstLine="480"/>
        <w:jc w:val="left"/>
        <w:rPr>
          <w:sz w:val="24"/>
          <w:szCs w:val="21"/>
        </w:rPr>
      </w:pPr>
      <w:r>
        <w:rPr>
          <w:sz w:val="24"/>
          <w:szCs w:val="21"/>
        </w:rPr>
        <w:t>3月23日，南通市自然资源和规划局</w:t>
      </w:r>
      <w:r>
        <w:rPr>
          <w:rFonts w:hint="eastAsia"/>
          <w:sz w:val="24"/>
          <w:szCs w:val="21"/>
        </w:rPr>
        <w:t>组织了相关管理部门、管线权属单位、测绘单位进行了标准的内部意见征询。</w:t>
      </w:r>
    </w:p>
    <w:p>
      <w:pPr>
        <w:ind w:firstLine="480"/>
        <w:jc w:val="left"/>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4月27日，</w:t>
      </w:r>
      <w:r>
        <w:rPr>
          <w:rFonts w:hint="eastAsia"/>
          <w:color w:val="000000" w:themeColor="text1"/>
          <w:sz w:val="24"/>
          <w:szCs w:val="21"/>
          <w14:textFill>
            <w14:solidFill>
              <w14:schemeClr w14:val="tx1"/>
            </w14:solidFill>
          </w14:textFill>
        </w:rPr>
        <w:t>完成了初稿的修改完善，提交南通市市场监督管理局。</w:t>
      </w:r>
    </w:p>
    <w:p>
      <w:pPr>
        <w:ind w:firstLine="480"/>
        <w:jc w:val="left"/>
        <w:rPr>
          <w:sz w:val="24"/>
          <w:szCs w:val="21"/>
        </w:rPr>
      </w:pPr>
      <w:r>
        <w:rPr>
          <w:rFonts w:hint="eastAsia"/>
          <w:sz w:val="24"/>
          <w:szCs w:val="21"/>
        </w:rPr>
        <w:t>5月9日，南通市市场监督管理局在南通市人民政府网站对本标准公开征求意见。</w:t>
      </w:r>
    </w:p>
    <w:p>
      <w:pPr>
        <w:ind w:firstLine="48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6月9日，完成公开征求意见。</w:t>
      </w:r>
    </w:p>
    <w:p>
      <w:pPr>
        <w:ind w:firstLine="48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9月</w:t>
      </w:r>
      <w:r>
        <w:rPr>
          <w:color w:val="000000" w:themeColor="text1"/>
          <w:sz w:val="24"/>
          <w:szCs w:val="20"/>
          <w14:textFill>
            <w14:solidFill>
              <w14:schemeClr w14:val="tx1"/>
            </w14:solidFill>
          </w14:textFill>
        </w:rPr>
        <w:t>30</w:t>
      </w:r>
      <w:r>
        <w:rPr>
          <w:rFonts w:hint="eastAsia"/>
          <w:color w:val="000000" w:themeColor="text1"/>
          <w:sz w:val="24"/>
          <w:szCs w:val="20"/>
          <w14:textFill>
            <w14:solidFill>
              <w14:schemeClr w14:val="tx1"/>
            </w14:solidFill>
          </w14:textFill>
        </w:rPr>
        <w:t>日，完成征求意见后的修改，形成送审稿。</w:t>
      </w:r>
    </w:p>
    <w:p>
      <w:pPr>
        <w:pStyle w:val="3"/>
        <w:spacing w:before="0" w:after="0" w:line="360" w:lineRule="auto"/>
        <w:ind w:firstLine="0" w:firstLineChars="0"/>
        <w:rPr>
          <w:rFonts w:ascii="黑体" w:hAnsi="黑体" w:eastAsia="黑体"/>
          <w:b w:val="0"/>
          <w:sz w:val="28"/>
          <w:szCs w:val="28"/>
          <w:lang w:val="zh-CN"/>
        </w:rPr>
      </w:pPr>
      <w:bookmarkStart w:id="7" w:name="_Toc133586001"/>
      <w:r>
        <w:rPr>
          <w:rFonts w:ascii="黑体" w:hAnsi="黑体" w:eastAsia="黑体"/>
          <w:b w:val="0"/>
          <w:sz w:val="28"/>
          <w:szCs w:val="28"/>
          <w:lang w:val="zh-CN"/>
        </w:rPr>
        <w:t>4</w:t>
      </w:r>
      <w:r>
        <w:rPr>
          <w:rFonts w:hint="eastAsia" w:ascii="黑体" w:hAnsi="黑体" w:eastAsia="黑体"/>
          <w:b w:val="0"/>
          <w:sz w:val="28"/>
          <w:szCs w:val="28"/>
          <w:lang w:val="zh-CN"/>
        </w:rPr>
        <w:t>．主要内容</w:t>
      </w:r>
      <w:r>
        <w:rPr>
          <w:rFonts w:ascii="黑体" w:hAnsi="黑体" w:eastAsia="黑体"/>
          <w:b w:val="0"/>
          <w:sz w:val="28"/>
          <w:szCs w:val="28"/>
          <w:lang w:val="zh-CN"/>
        </w:rPr>
        <w:t>技术指标确立</w:t>
      </w:r>
      <w:bookmarkEnd w:id="7"/>
    </w:p>
    <w:p>
      <w:pPr>
        <w:pStyle w:val="4"/>
        <w:spacing w:before="120" w:after="120" w:line="360" w:lineRule="auto"/>
        <w:ind w:firstLine="0" w:firstLineChars="0"/>
        <w:rPr>
          <w:rFonts w:ascii="黑体" w:hAnsi="黑体" w:eastAsia="黑体"/>
          <w:b w:val="0"/>
          <w:sz w:val="24"/>
          <w:szCs w:val="24"/>
          <w:lang w:val="zh-CN"/>
        </w:rPr>
      </w:pPr>
      <w:bookmarkStart w:id="8" w:name="_Toc133586002"/>
      <w:r>
        <w:rPr>
          <w:rFonts w:ascii="黑体" w:hAnsi="黑体" w:eastAsia="黑体"/>
          <w:b w:val="0"/>
          <w:sz w:val="24"/>
          <w:szCs w:val="24"/>
          <w:lang w:val="zh-CN"/>
        </w:rPr>
        <w:t>4.1</w:t>
      </w:r>
      <w:r>
        <w:rPr>
          <w:rFonts w:hint="eastAsia" w:ascii="黑体" w:hAnsi="黑体" w:eastAsia="黑体"/>
          <w:b w:val="0"/>
          <w:sz w:val="24"/>
          <w:szCs w:val="24"/>
          <w:lang w:val="zh-CN"/>
        </w:rPr>
        <w:t>编制</w:t>
      </w:r>
      <w:r>
        <w:rPr>
          <w:rFonts w:ascii="黑体" w:hAnsi="黑体" w:eastAsia="黑体"/>
          <w:b w:val="0"/>
          <w:sz w:val="24"/>
          <w:szCs w:val="24"/>
          <w:lang w:val="zh-CN"/>
        </w:rPr>
        <w:t>原则</w:t>
      </w:r>
      <w:bookmarkEnd w:id="8"/>
    </w:p>
    <w:p>
      <w:pPr>
        <w:ind w:firstLine="480"/>
        <w:jc w:val="left"/>
        <w:rPr>
          <w:sz w:val="24"/>
        </w:rPr>
      </w:pPr>
      <w:bookmarkStart w:id="9" w:name="_Toc36477690"/>
      <w:r>
        <w:rPr>
          <w:sz w:val="24"/>
        </w:rPr>
        <w:t>按GB/T 1.1-20</w:t>
      </w:r>
      <w:r>
        <w:rPr>
          <w:rFonts w:hint="eastAsia"/>
          <w:sz w:val="24"/>
        </w:rPr>
        <w:t>20</w:t>
      </w:r>
      <w:r>
        <w:rPr>
          <w:sz w:val="24"/>
        </w:rPr>
        <w:t>《标准化工作导则第1部分：标准的结构和编写规则》编制，标准编制的主要依据如下原则</w:t>
      </w:r>
      <w:bookmarkEnd w:id="9"/>
      <w:r>
        <w:rPr>
          <w:sz w:val="24"/>
        </w:rPr>
        <w:t>：</w:t>
      </w:r>
    </w:p>
    <w:p>
      <w:pPr>
        <w:ind w:firstLine="480"/>
        <w:rPr>
          <w:sz w:val="24"/>
        </w:rPr>
      </w:pPr>
      <w:r>
        <w:rPr>
          <w:sz w:val="24"/>
        </w:rPr>
        <w:t>（1）科学性。标准编制的目标应清晰，在标准的范围所规定的界限内按需要力求完整，表达清晰明确，能被未参加标准编制的专业技术人员所理解。</w:t>
      </w:r>
    </w:p>
    <w:p>
      <w:pPr>
        <w:ind w:firstLine="480"/>
        <w:rPr>
          <w:sz w:val="24"/>
        </w:rPr>
      </w:pPr>
      <w:r>
        <w:rPr>
          <w:sz w:val="24"/>
        </w:rPr>
        <w:t>（2）先进性。充分考虑最新技术水平；为未来技术发展提供框架。</w:t>
      </w:r>
    </w:p>
    <w:p>
      <w:pPr>
        <w:ind w:firstLine="480"/>
        <w:rPr>
          <w:sz w:val="24"/>
        </w:rPr>
      </w:pPr>
      <w:r>
        <w:rPr>
          <w:sz w:val="24"/>
        </w:rPr>
        <w:t>（3）统一性。标准的问题和术语应保持一致。对于同一个概念应使用同一个术语，每个选用的术语应尽可能只有唯一的含义。标准的不同部分的结构及章节编号应尽可能相同</w:t>
      </w:r>
      <w:r>
        <w:rPr>
          <w:rFonts w:hint="eastAsia"/>
          <w:sz w:val="24"/>
        </w:rPr>
        <w:t>。</w:t>
      </w:r>
    </w:p>
    <w:p>
      <w:pPr>
        <w:ind w:firstLine="480"/>
        <w:rPr>
          <w:sz w:val="24"/>
        </w:rPr>
      </w:pPr>
      <w:r>
        <w:rPr>
          <w:sz w:val="24"/>
        </w:rPr>
        <w:t>（4）规范性。标准起草前，应确定标准的预计结构和内在关系，尤其应考虑内容的划分。遵循现行测绘基础标准的有关条款，并保持协调。</w:t>
      </w:r>
    </w:p>
    <w:p>
      <w:pPr>
        <w:ind w:firstLine="480"/>
      </w:pPr>
      <w:r>
        <w:rPr>
          <w:sz w:val="24"/>
        </w:rPr>
        <w:t>（5）适用性。标准的内容应适合于界定范围内的研究对象，并且易于被其他的标准或文件所引用。标准应易于被实施，具有良好的可操作性。</w:t>
      </w:r>
    </w:p>
    <w:p>
      <w:pPr>
        <w:pStyle w:val="4"/>
        <w:spacing w:before="120" w:after="120" w:line="360" w:lineRule="auto"/>
        <w:ind w:firstLine="0" w:firstLineChars="0"/>
        <w:rPr>
          <w:rFonts w:ascii="黑体" w:hAnsi="黑体" w:eastAsia="黑体"/>
          <w:b w:val="0"/>
          <w:sz w:val="24"/>
          <w:szCs w:val="24"/>
          <w:lang w:val="zh-CN"/>
        </w:rPr>
      </w:pPr>
      <w:bookmarkStart w:id="10" w:name="_Toc133586003"/>
      <w:r>
        <w:rPr>
          <w:rFonts w:ascii="黑体" w:hAnsi="黑体" w:eastAsia="黑体"/>
          <w:b w:val="0"/>
          <w:sz w:val="24"/>
          <w:szCs w:val="24"/>
          <w:lang w:val="zh-CN"/>
        </w:rPr>
        <w:t>4.2</w:t>
      </w:r>
      <w:r>
        <w:rPr>
          <w:rFonts w:hint="eastAsia" w:ascii="黑体" w:hAnsi="黑体" w:eastAsia="黑体"/>
          <w:b w:val="0"/>
          <w:sz w:val="24"/>
          <w:szCs w:val="24"/>
          <w:lang w:val="zh-CN"/>
        </w:rPr>
        <w:t>编制依据</w:t>
      </w:r>
      <w:bookmarkEnd w:id="10"/>
    </w:p>
    <w:p>
      <w:pPr>
        <w:ind w:firstLine="480"/>
        <w:rPr>
          <w:sz w:val="24"/>
        </w:rPr>
      </w:pPr>
      <w:bookmarkStart w:id="11" w:name="_Toc38476394"/>
      <w:bookmarkStart w:id="12" w:name="_Toc51502562"/>
      <w:bookmarkStart w:id="13" w:name="_Toc51502637"/>
      <w:bookmarkStart w:id="14" w:name="_Toc133586004"/>
      <w:r>
        <w:rPr>
          <w:sz w:val="24"/>
        </w:rPr>
        <w:t>GB/T 24356</w:t>
      </w:r>
      <w:r>
        <w:rPr>
          <w:rFonts w:hint="eastAsia"/>
          <w:sz w:val="24"/>
        </w:rPr>
        <w:t>测绘成果质量检查与验收</w:t>
      </w:r>
    </w:p>
    <w:p>
      <w:pPr>
        <w:ind w:firstLine="480"/>
        <w:rPr>
          <w:sz w:val="24"/>
        </w:rPr>
      </w:pPr>
      <w:r>
        <w:rPr>
          <w:rFonts w:hint="eastAsia"/>
          <w:sz w:val="24"/>
        </w:rPr>
        <w:t>GB/T 29806信息技术 地下管线数据交换技术要求</w:t>
      </w:r>
    </w:p>
    <w:p>
      <w:pPr>
        <w:ind w:firstLine="480"/>
        <w:rPr>
          <w:sz w:val="24"/>
        </w:rPr>
      </w:pPr>
      <w:r>
        <w:rPr>
          <w:rFonts w:hint="eastAsia"/>
          <w:sz w:val="24"/>
        </w:rPr>
        <w:t>GB/T 35644地下管线数据获取规程</w:t>
      </w:r>
    </w:p>
    <w:p>
      <w:pPr>
        <w:ind w:firstLine="480"/>
        <w:rPr>
          <w:sz w:val="24"/>
        </w:rPr>
      </w:pPr>
      <w:r>
        <w:rPr>
          <w:rFonts w:hint="eastAsia"/>
          <w:sz w:val="24"/>
        </w:rPr>
        <w:t>GB/T 41455地下管线要素数据字典</w:t>
      </w:r>
    </w:p>
    <w:p>
      <w:pPr>
        <w:ind w:firstLine="480"/>
        <w:rPr>
          <w:sz w:val="24"/>
        </w:rPr>
      </w:pPr>
      <w:r>
        <w:rPr>
          <w:rFonts w:hint="eastAsia"/>
          <w:sz w:val="24"/>
        </w:rPr>
        <w:t>CJJ/</w:t>
      </w:r>
      <w:r>
        <w:rPr>
          <w:sz w:val="24"/>
        </w:rPr>
        <w:t>T</w:t>
      </w:r>
      <w:r>
        <w:rPr>
          <w:rFonts w:hint="eastAsia"/>
          <w:sz w:val="24"/>
        </w:rPr>
        <w:t xml:space="preserve"> 7城市工程地球物理探测标准</w:t>
      </w:r>
    </w:p>
    <w:p>
      <w:pPr>
        <w:ind w:firstLine="480"/>
        <w:rPr>
          <w:sz w:val="24"/>
        </w:rPr>
      </w:pPr>
      <w:r>
        <w:rPr>
          <w:rFonts w:hint="eastAsia"/>
          <w:sz w:val="24"/>
        </w:rPr>
        <w:t>CJJ/T 8城市测量规范</w:t>
      </w:r>
    </w:p>
    <w:p>
      <w:pPr>
        <w:ind w:firstLine="480"/>
        <w:rPr>
          <w:sz w:val="24"/>
        </w:rPr>
      </w:pPr>
      <w:r>
        <w:rPr>
          <w:sz w:val="24"/>
        </w:rPr>
        <w:t>CJJ 61</w:t>
      </w:r>
      <w:r>
        <w:rPr>
          <w:rFonts w:hint="eastAsia"/>
          <w:sz w:val="24"/>
        </w:rPr>
        <w:t>城市地下管线探测技术规程</w:t>
      </w:r>
    </w:p>
    <w:p>
      <w:pPr>
        <w:ind w:firstLine="480"/>
        <w:rPr>
          <w:sz w:val="24"/>
        </w:rPr>
      </w:pPr>
      <w:r>
        <w:rPr>
          <w:rFonts w:hint="eastAsia"/>
          <w:sz w:val="24"/>
        </w:rPr>
        <w:t>CJJ</w:t>
      </w:r>
      <w:r>
        <w:rPr>
          <w:sz w:val="24"/>
        </w:rPr>
        <w:t>/T</w:t>
      </w:r>
      <w:r>
        <w:rPr>
          <w:rFonts w:hint="eastAsia"/>
          <w:sz w:val="24"/>
        </w:rPr>
        <w:t xml:space="preserve"> 73 卫星定位城市测量技术标准</w:t>
      </w:r>
    </w:p>
    <w:p>
      <w:pPr>
        <w:ind w:firstLine="480"/>
        <w:rPr>
          <w:sz w:val="24"/>
        </w:rPr>
      </w:pPr>
      <w:r>
        <w:rPr>
          <w:rFonts w:hint="eastAsia"/>
          <w:sz w:val="24"/>
        </w:rPr>
        <w:t>CJJ 181城镇排水管道检测与评估技术规程</w:t>
      </w:r>
    </w:p>
    <w:p>
      <w:pPr>
        <w:ind w:firstLine="480"/>
        <w:rPr>
          <w:sz w:val="24"/>
        </w:rPr>
      </w:pPr>
      <w:r>
        <w:rPr>
          <w:rFonts w:hint="eastAsia"/>
          <w:sz w:val="24"/>
        </w:rPr>
        <w:t>CH/T 1033管线测量成果质量检验技术规程</w:t>
      </w:r>
    </w:p>
    <w:p>
      <w:pPr>
        <w:ind w:firstLine="480"/>
        <w:rPr>
          <w:sz w:val="24"/>
        </w:rPr>
      </w:pPr>
      <w:r>
        <w:rPr>
          <w:rFonts w:hint="eastAsia"/>
          <w:sz w:val="24"/>
        </w:rPr>
        <w:t>DB32/T 4405工程建设项目“多测合一”技术规程</w:t>
      </w:r>
    </w:p>
    <w:p>
      <w:pPr>
        <w:ind w:firstLine="480"/>
        <w:rPr>
          <w:sz w:val="24"/>
        </w:rPr>
      </w:pPr>
      <w:r>
        <w:rPr>
          <w:rFonts w:hint="eastAsia"/>
          <w:sz w:val="24"/>
        </w:rPr>
        <w:t>DGJ32/TJ 186江苏省城市地下管线探测技术规程</w:t>
      </w:r>
    </w:p>
    <w:p>
      <w:pPr>
        <w:ind w:firstLine="480"/>
        <w:rPr>
          <w:sz w:val="24"/>
        </w:rPr>
      </w:pPr>
      <w:r>
        <w:rPr>
          <w:rFonts w:hint="eastAsia"/>
          <w:sz w:val="24"/>
        </w:rPr>
        <w:t>DGJ32/TJ 187江苏省城市地下管线数据标准</w:t>
      </w:r>
    </w:p>
    <w:p>
      <w:pPr>
        <w:ind w:firstLine="480"/>
        <w:rPr>
          <w:sz w:val="24"/>
        </w:rPr>
      </w:pPr>
      <w:r>
        <w:rPr>
          <w:rFonts w:hint="eastAsia"/>
          <w:sz w:val="24"/>
        </w:rPr>
        <w:t>T/</w:t>
      </w:r>
      <w:r>
        <w:rPr>
          <w:sz w:val="24"/>
        </w:rPr>
        <w:t xml:space="preserve">CAS 427 </w:t>
      </w:r>
      <w:r>
        <w:rPr>
          <w:rFonts w:hint="eastAsia"/>
          <w:sz w:val="24"/>
        </w:rPr>
        <w:t>地下管线核验测量与竣工测量技术规程</w:t>
      </w:r>
    </w:p>
    <w:p>
      <w:pPr>
        <w:ind w:firstLine="480"/>
        <w:rPr>
          <w:sz w:val="24"/>
        </w:rPr>
      </w:pPr>
      <w:r>
        <w:rPr>
          <w:sz w:val="24"/>
        </w:rPr>
        <w:t xml:space="preserve">T/CAS 515 </w:t>
      </w:r>
      <w:r>
        <w:rPr>
          <w:rFonts w:hint="eastAsia"/>
          <w:sz w:val="24"/>
        </w:rPr>
        <w:t>地下管线精细探测技术规程</w:t>
      </w:r>
    </w:p>
    <w:p>
      <w:pPr>
        <w:pStyle w:val="4"/>
        <w:spacing w:before="120" w:after="120" w:line="360" w:lineRule="auto"/>
        <w:ind w:firstLine="0" w:firstLineChars="0"/>
        <w:rPr>
          <w:rFonts w:ascii="黑体" w:hAnsi="黑体" w:eastAsia="黑体"/>
          <w:b w:val="0"/>
          <w:sz w:val="24"/>
          <w:szCs w:val="24"/>
          <w:lang w:val="zh-CN"/>
        </w:rPr>
      </w:pPr>
      <w:r>
        <w:rPr>
          <w:rFonts w:ascii="黑体" w:hAnsi="黑体" w:eastAsia="黑体"/>
          <w:b w:val="0"/>
          <w:sz w:val="24"/>
          <w:szCs w:val="24"/>
          <w:lang w:val="zh-CN"/>
        </w:rPr>
        <w:t>4.3技术路线</w:t>
      </w:r>
      <w:bookmarkEnd w:id="11"/>
      <w:bookmarkEnd w:id="12"/>
      <w:bookmarkEnd w:id="13"/>
      <w:bookmarkEnd w:id="14"/>
    </w:p>
    <w:p>
      <w:pPr>
        <w:ind w:firstLine="480"/>
        <w:jc w:val="left"/>
        <w:rPr>
          <w:sz w:val="24"/>
        </w:rPr>
      </w:pPr>
      <w:r>
        <w:rPr>
          <w:sz w:val="24"/>
        </w:rPr>
        <w:t>标准编制遵循国家有关法律要求，坚持</w:t>
      </w:r>
      <w:r>
        <w:rPr>
          <w:rFonts w:hint="eastAsia"/>
          <w:sz w:val="24"/>
        </w:rPr>
        <w:t>“</w:t>
      </w:r>
      <w:r>
        <w:rPr>
          <w:sz w:val="24"/>
        </w:rPr>
        <w:t>科学性、先进性、统一性、规范性、适用性</w:t>
      </w:r>
      <w:r>
        <w:rPr>
          <w:rFonts w:hint="eastAsia"/>
          <w:sz w:val="24"/>
        </w:rPr>
        <w:t>”</w:t>
      </w:r>
      <w:r>
        <w:rPr>
          <w:sz w:val="24"/>
        </w:rPr>
        <w:t>原则，在</w:t>
      </w:r>
      <w:r>
        <w:rPr>
          <w:rFonts w:hint="eastAsia"/>
          <w:sz w:val="24"/>
        </w:rPr>
        <w:t>全面掌握现有管线数据概况的基础上</w:t>
      </w:r>
      <w:r>
        <w:rPr>
          <w:sz w:val="24"/>
        </w:rPr>
        <w:t>调研</w:t>
      </w:r>
      <w:r>
        <w:rPr>
          <w:rFonts w:hint="eastAsia"/>
          <w:sz w:val="24"/>
        </w:rPr>
        <w:t>了地下管线管理部门、运营单位、数据使用部门对地下管线数据的使用需求</w:t>
      </w:r>
      <w:r>
        <w:rPr>
          <w:sz w:val="24"/>
        </w:rPr>
        <w:t>，</w:t>
      </w:r>
      <w:r>
        <w:rPr>
          <w:rFonts w:hint="eastAsia"/>
          <w:sz w:val="24"/>
        </w:rPr>
        <w:t>参考了有关现行国家标准、行业标准、地方标准和团体标准，充分分析现有及未来的数据使用需求，结合本标准编制单位在地下管线探测、数据建库、信息系统建设等方面的丰富经验，</w:t>
      </w:r>
      <w:r>
        <w:rPr>
          <w:sz w:val="24"/>
        </w:rPr>
        <w:t>形成</w:t>
      </w:r>
      <w:r>
        <w:rPr>
          <w:rFonts w:hint="eastAsia"/>
          <w:sz w:val="24"/>
        </w:rPr>
        <w:t>了地下管线数据获取与建库</w:t>
      </w:r>
      <w:r>
        <w:rPr>
          <w:sz w:val="24"/>
        </w:rPr>
        <w:t>的基本要求、</w:t>
      </w:r>
      <w:r>
        <w:rPr>
          <w:rFonts w:hint="eastAsia"/>
          <w:sz w:val="24"/>
        </w:rPr>
        <w:t>技术准备、管线探查、管线测量、管线放线和竣工测量、数据处理与成果编制、成果规格和命名、质量检查、验收与提交</w:t>
      </w:r>
      <w:r>
        <w:rPr>
          <w:sz w:val="24"/>
        </w:rPr>
        <w:t>等内容。在广泛征询内外部意见的基础上，报送</w:t>
      </w:r>
      <w:r>
        <w:rPr>
          <w:rFonts w:hint="eastAsia"/>
          <w:sz w:val="24"/>
        </w:rPr>
        <w:t>市场监督</w:t>
      </w:r>
      <w:r>
        <w:rPr>
          <w:sz w:val="24"/>
        </w:rPr>
        <w:t>部门批准。</w:t>
      </w:r>
    </w:p>
    <w:p>
      <w:pPr>
        <w:pStyle w:val="4"/>
        <w:spacing w:before="120" w:after="120" w:line="360" w:lineRule="auto"/>
        <w:ind w:firstLine="0" w:firstLineChars="0"/>
        <w:rPr>
          <w:rFonts w:ascii="黑体" w:hAnsi="黑体" w:eastAsia="黑体"/>
          <w:b w:val="0"/>
          <w:sz w:val="24"/>
          <w:szCs w:val="24"/>
          <w:lang w:val="zh-CN"/>
        </w:rPr>
      </w:pPr>
      <w:bookmarkStart w:id="15" w:name="_Toc38476396"/>
      <w:bookmarkStart w:id="16" w:name="_Toc51502563"/>
      <w:bookmarkStart w:id="17" w:name="_Toc51502638"/>
      <w:bookmarkStart w:id="18" w:name="_Toc133586005"/>
      <w:r>
        <w:rPr>
          <w:rFonts w:ascii="黑体" w:hAnsi="黑体" w:eastAsia="黑体"/>
          <w:b w:val="0"/>
          <w:sz w:val="24"/>
          <w:szCs w:val="24"/>
          <w:lang w:val="zh-CN"/>
        </w:rPr>
        <w:t>4.4编制步骤</w:t>
      </w:r>
      <w:bookmarkEnd w:id="15"/>
      <w:bookmarkEnd w:id="16"/>
      <w:bookmarkEnd w:id="17"/>
      <w:bookmarkEnd w:id="18"/>
    </w:p>
    <w:p>
      <w:pPr>
        <w:ind w:firstLine="480"/>
        <w:rPr>
          <w:sz w:val="24"/>
        </w:rPr>
      </w:pPr>
      <w:r>
        <w:rPr>
          <w:sz w:val="24"/>
        </w:rPr>
        <w:t>（1）标准梳理。分析现有国家、行业、地方以及团体已颁布的</w:t>
      </w:r>
      <w:r>
        <w:rPr>
          <w:rFonts w:hint="eastAsia"/>
          <w:sz w:val="24"/>
        </w:rPr>
        <w:t>相关</w:t>
      </w:r>
      <w:r>
        <w:rPr>
          <w:sz w:val="24"/>
        </w:rPr>
        <w:t>标准，梳理相关标准的范围并评价其适用性，整理出与本次标准编制的差异和问题。</w:t>
      </w:r>
    </w:p>
    <w:p>
      <w:pPr>
        <w:ind w:firstLine="480"/>
        <w:rPr>
          <w:sz w:val="24"/>
        </w:rPr>
      </w:pPr>
      <w:r>
        <w:rPr>
          <w:sz w:val="24"/>
        </w:rPr>
        <w:t>（2）数据分析。评价</w:t>
      </w:r>
      <w:r>
        <w:rPr>
          <w:rFonts w:hint="eastAsia"/>
          <w:sz w:val="24"/>
        </w:rPr>
        <w:t>自然资源和规划管理部门现有管线数据及各管线权属单位汇交的管线数据</w:t>
      </w:r>
      <w:r>
        <w:rPr>
          <w:sz w:val="24"/>
        </w:rPr>
        <w:t>，分析其执行的标准情况。</w:t>
      </w:r>
    </w:p>
    <w:p>
      <w:pPr>
        <w:ind w:firstLine="480"/>
        <w:rPr>
          <w:sz w:val="24"/>
        </w:rPr>
      </w:pPr>
      <w:r>
        <w:rPr>
          <w:sz w:val="24"/>
        </w:rPr>
        <w:t>（3）需求调研。向自然资源和规划</w:t>
      </w:r>
      <w:r>
        <w:rPr>
          <w:rFonts w:hint="eastAsia"/>
          <w:sz w:val="24"/>
        </w:rPr>
        <w:t>局、市政和园林局、大数据管理局、各管线权属单位</w:t>
      </w:r>
      <w:r>
        <w:rPr>
          <w:sz w:val="24"/>
        </w:rPr>
        <w:t>调研，获取其</w:t>
      </w:r>
      <w:r>
        <w:rPr>
          <w:rFonts w:hint="eastAsia"/>
          <w:sz w:val="24"/>
        </w:rPr>
        <w:t>在管线行业管理、管线运营、数据使用等方面的需求</w:t>
      </w:r>
      <w:r>
        <w:rPr>
          <w:sz w:val="24"/>
        </w:rPr>
        <w:t>。</w:t>
      </w:r>
    </w:p>
    <w:p>
      <w:pPr>
        <w:ind w:firstLine="480"/>
        <w:rPr>
          <w:sz w:val="24"/>
        </w:rPr>
      </w:pPr>
      <w:r>
        <w:rPr>
          <w:sz w:val="24"/>
        </w:rPr>
        <w:t>（4）确定框架。确定</w:t>
      </w:r>
      <w:r>
        <w:rPr>
          <w:rFonts w:hint="eastAsia"/>
          <w:sz w:val="24"/>
        </w:rPr>
        <w:t>规范性引用</w:t>
      </w:r>
      <w:r>
        <w:rPr>
          <w:sz w:val="24"/>
        </w:rPr>
        <w:t>标准、</w:t>
      </w:r>
      <w:r>
        <w:rPr>
          <w:rFonts w:hint="eastAsia"/>
          <w:sz w:val="24"/>
        </w:rPr>
        <w:t>参考</w:t>
      </w:r>
      <w:r>
        <w:rPr>
          <w:sz w:val="24"/>
        </w:rPr>
        <w:t>标准，兼收各标准的优点和适用程度，确定本标准目录和框架。</w:t>
      </w:r>
    </w:p>
    <w:p>
      <w:pPr>
        <w:ind w:firstLine="480"/>
        <w:rPr>
          <w:sz w:val="24"/>
        </w:rPr>
      </w:pPr>
      <w:r>
        <w:rPr>
          <w:sz w:val="24"/>
        </w:rPr>
        <w:t>（5）标准成文。依据标准编写的规则和版式，细化结构，分章节编写内容。同步开展生产试验、标准验证、统稿审稿工作。</w:t>
      </w:r>
    </w:p>
    <w:p>
      <w:pPr>
        <w:ind w:firstLine="480"/>
        <w:rPr>
          <w:sz w:val="24"/>
        </w:rPr>
      </w:pPr>
      <w:r>
        <w:rPr>
          <w:sz w:val="24"/>
        </w:rPr>
        <w:t>（6）征求意见。征求自然资源和规划系统内部意见、</w:t>
      </w:r>
      <w:r>
        <w:rPr>
          <w:rFonts w:hint="eastAsia"/>
          <w:sz w:val="24"/>
        </w:rPr>
        <w:t>地下管线管理单位、地下管线权属单位意见</w:t>
      </w:r>
      <w:r>
        <w:rPr>
          <w:sz w:val="24"/>
        </w:rPr>
        <w:t>，吸收测绘生产单位的意见，完善充实到标准中。</w:t>
      </w:r>
    </w:p>
    <w:p>
      <w:pPr>
        <w:ind w:firstLine="480"/>
        <w:rPr>
          <w:sz w:val="24"/>
        </w:rPr>
      </w:pPr>
      <w:r>
        <w:rPr>
          <w:sz w:val="24"/>
        </w:rPr>
        <w:t>（7）报批定稿。向业主单位和</w:t>
      </w:r>
      <w:r>
        <w:rPr>
          <w:rFonts w:hint="eastAsia"/>
          <w:sz w:val="24"/>
        </w:rPr>
        <w:t>市场监督管理</w:t>
      </w:r>
      <w:r>
        <w:rPr>
          <w:sz w:val="24"/>
        </w:rPr>
        <w:t>部门提交终稿、通过审批。</w:t>
      </w:r>
    </w:p>
    <w:p>
      <w:pPr>
        <w:pStyle w:val="4"/>
        <w:spacing w:before="120" w:after="120" w:line="360" w:lineRule="auto"/>
        <w:ind w:firstLine="0" w:firstLineChars="0"/>
        <w:rPr>
          <w:rFonts w:ascii="黑体" w:hAnsi="黑体" w:eastAsia="黑体"/>
          <w:b w:val="0"/>
          <w:sz w:val="24"/>
          <w:szCs w:val="24"/>
          <w:lang w:val="zh-CN"/>
        </w:rPr>
      </w:pPr>
      <w:bookmarkStart w:id="19" w:name="_Toc133586006"/>
      <w:r>
        <w:rPr>
          <w:rFonts w:ascii="黑体" w:hAnsi="黑体" w:eastAsia="黑体"/>
          <w:b w:val="0"/>
          <w:sz w:val="24"/>
          <w:szCs w:val="24"/>
          <w:lang w:val="zh-CN"/>
        </w:rPr>
        <w:t>4.5</w:t>
      </w:r>
      <w:r>
        <w:rPr>
          <w:rFonts w:hint="eastAsia" w:ascii="黑体" w:hAnsi="黑体" w:eastAsia="黑体"/>
          <w:b w:val="0"/>
          <w:sz w:val="24"/>
          <w:szCs w:val="24"/>
          <w:lang w:val="zh-CN"/>
        </w:rPr>
        <w:t xml:space="preserve"> </w:t>
      </w:r>
      <w:r>
        <w:rPr>
          <w:rFonts w:ascii="黑体" w:hAnsi="黑体" w:eastAsia="黑体"/>
          <w:b w:val="0"/>
          <w:sz w:val="24"/>
          <w:szCs w:val="24"/>
          <w:lang w:val="zh-CN"/>
        </w:rPr>
        <w:t>主要内容的确定</w:t>
      </w:r>
      <w:bookmarkEnd w:id="19"/>
    </w:p>
    <w:p>
      <w:pPr>
        <w:ind w:firstLine="480"/>
        <w:jc w:val="left"/>
        <w:rPr>
          <w:sz w:val="24"/>
        </w:rPr>
      </w:pPr>
      <w:r>
        <w:rPr>
          <w:sz w:val="24"/>
        </w:rPr>
        <w:t>本规程主要内容确定的理由及依据如下：</w:t>
      </w:r>
    </w:p>
    <w:p>
      <w:pPr>
        <w:ind w:firstLine="480"/>
        <w:rPr>
          <w:sz w:val="24"/>
        </w:rPr>
      </w:pPr>
      <w:r>
        <w:rPr>
          <w:rFonts w:hint="eastAsia"/>
          <w:sz w:val="24"/>
        </w:rPr>
        <w:t>（1）</w:t>
      </w:r>
      <w:r>
        <w:rPr>
          <w:sz w:val="24"/>
        </w:rPr>
        <w:t>第1章</w:t>
      </w:r>
      <w:r>
        <w:rPr>
          <w:rFonts w:hint="eastAsia"/>
          <w:sz w:val="24"/>
        </w:rPr>
        <w:t>“范围”</w:t>
      </w:r>
      <w:r>
        <w:rPr>
          <w:sz w:val="24"/>
        </w:rPr>
        <w:t>主要是本规程的编制目的和意义及适用范围。</w:t>
      </w:r>
    </w:p>
    <w:p>
      <w:pPr>
        <w:ind w:firstLine="480"/>
        <w:rPr>
          <w:sz w:val="24"/>
        </w:rPr>
      </w:pPr>
      <w:r>
        <w:rPr>
          <w:rFonts w:hint="eastAsia"/>
          <w:sz w:val="24"/>
        </w:rPr>
        <w:t>（2）</w:t>
      </w:r>
      <w:r>
        <w:rPr>
          <w:sz w:val="24"/>
        </w:rPr>
        <w:t>第2章</w:t>
      </w:r>
      <w:r>
        <w:rPr>
          <w:rFonts w:hint="eastAsia"/>
          <w:sz w:val="24"/>
        </w:rPr>
        <w:t>“规范性引用文件”列出本规范所引用的文件。</w:t>
      </w:r>
    </w:p>
    <w:p>
      <w:pPr>
        <w:ind w:firstLine="480"/>
        <w:rPr>
          <w:sz w:val="24"/>
        </w:rPr>
      </w:pPr>
      <w:r>
        <w:rPr>
          <w:rFonts w:hint="eastAsia"/>
          <w:sz w:val="24"/>
        </w:rPr>
        <w:t>（3）</w:t>
      </w:r>
      <w:r>
        <w:rPr>
          <w:sz w:val="24"/>
        </w:rPr>
        <w:t>第3章</w:t>
      </w:r>
      <w:r>
        <w:rPr>
          <w:rFonts w:hint="eastAsia"/>
          <w:sz w:val="24"/>
        </w:rPr>
        <w:t>“</w:t>
      </w:r>
      <w:r>
        <w:rPr>
          <w:sz w:val="24"/>
        </w:rPr>
        <w:t>术语</w:t>
      </w:r>
      <w:r>
        <w:rPr>
          <w:rFonts w:hint="eastAsia"/>
          <w:sz w:val="24"/>
        </w:rPr>
        <w:t>和定义”给出</w:t>
      </w:r>
      <w:r>
        <w:rPr>
          <w:sz w:val="24"/>
        </w:rPr>
        <w:t>地下管线</w:t>
      </w:r>
      <w:r>
        <w:rPr>
          <w:rFonts w:hint="eastAsia"/>
          <w:sz w:val="24"/>
        </w:rPr>
        <w:t>数据获取与建库中</w:t>
      </w:r>
      <w:r>
        <w:rPr>
          <w:sz w:val="24"/>
        </w:rPr>
        <w:t>所涉及术语的定义。</w:t>
      </w:r>
    </w:p>
    <w:p>
      <w:pPr>
        <w:ind w:firstLine="480"/>
        <w:rPr>
          <w:sz w:val="24"/>
        </w:rPr>
      </w:pPr>
      <w:r>
        <w:rPr>
          <w:rFonts w:hint="eastAsia"/>
          <w:sz w:val="24"/>
        </w:rPr>
        <w:t>（4）第</w:t>
      </w:r>
      <w:r>
        <w:rPr>
          <w:sz w:val="24"/>
        </w:rPr>
        <w:t>4</w:t>
      </w:r>
      <w:r>
        <w:rPr>
          <w:rFonts w:hint="eastAsia"/>
          <w:sz w:val="24"/>
        </w:rPr>
        <w:t>章“符号和代号”对本文件中所使用的公式符号、缩写代号进行解释说明。</w:t>
      </w:r>
    </w:p>
    <w:p>
      <w:pPr>
        <w:ind w:firstLine="480"/>
        <w:rPr>
          <w:sz w:val="24"/>
        </w:rPr>
      </w:pPr>
      <w:r>
        <w:rPr>
          <w:rFonts w:hint="eastAsia"/>
          <w:sz w:val="24"/>
        </w:rPr>
        <w:t>（5）</w:t>
      </w:r>
      <w:r>
        <w:rPr>
          <w:sz w:val="24"/>
        </w:rPr>
        <w:t>第5章</w:t>
      </w:r>
      <w:r>
        <w:rPr>
          <w:rFonts w:hint="eastAsia"/>
          <w:sz w:val="24"/>
        </w:rPr>
        <w:t>“</w:t>
      </w:r>
      <w:r>
        <w:rPr>
          <w:sz w:val="24"/>
        </w:rPr>
        <w:t>基本规定</w:t>
      </w:r>
      <w:r>
        <w:rPr>
          <w:rFonts w:hint="eastAsia"/>
          <w:sz w:val="24"/>
        </w:rPr>
        <w:t>”</w:t>
      </w:r>
      <w:r>
        <w:rPr>
          <w:sz w:val="24"/>
        </w:rPr>
        <w:t>规定了地下管线</w:t>
      </w:r>
      <w:r>
        <w:rPr>
          <w:rFonts w:hint="eastAsia"/>
          <w:sz w:val="24"/>
        </w:rPr>
        <w:t>数据获取</w:t>
      </w:r>
      <w:r>
        <w:rPr>
          <w:sz w:val="24"/>
        </w:rPr>
        <w:t>的对象、内容及范围，</w:t>
      </w:r>
      <w:r>
        <w:rPr>
          <w:rFonts w:hint="eastAsia"/>
          <w:sz w:val="24"/>
        </w:rPr>
        <w:t>数据建库的基本要求，</w:t>
      </w:r>
      <w:r>
        <w:rPr>
          <w:sz w:val="24"/>
        </w:rPr>
        <w:t>同时明确了地下管线</w:t>
      </w:r>
      <w:r>
        <w:rPr>
          <w:rFonts w:hint="eastAsia"/>
          <w:sz w:val="24"/>
        </w:rPr>
        <w:t>数据获取</w:t>
      </w:r>
      <w:r>
        <w:rPr>
          <w:sz w:val="24"/>
        </w:rPr>
        <w:t>的任务</w:t>
      </w:r>
      <w:r>
        <w:rPr>
          <w:rFonts w:hint="eastAsia"/>
          <w:sz w:val="24"/>
        </w:rPr>
        <w:t>类型</w:t>
      </w:r>
      <w:r>
        <w:rPr>
          <w:sz w:val="24"/>
        </w:rPr>
        <w:t>及精度要求。</w:t>
      </w:r>
    </w:p>
    <w:p>
      <w:pPr>
        <w:ind w:firstLine="480"/>
        <w:rPr>
          <w:sz w:val="24"/>
        </w:rPr>
      </w:pPr>
      <w:r>
        <w:rPr>
          <w:rFonts w:hint="eastAsia"/>
          <w:sz w:val="24"/>
        </w:rPr>
        <w:t>（6）</w:t>
      </w:r>
      <w:r>
        <w:rPr>
          <w:sz w:val="24"/>
        </w:rPr>
        <w:t>第6章</w:t>
      </w:r>
      <w:r>
        <w:rPr>
          <w:rFonts w:hint="eastAsia"/>
          <w:sz w:val="24"/>
        </w:rPr>
        <w:t>“技术准备”</w:t>
      </w:r>
      <w:r>
        <w:rPr>
          <w:sz w:val="24"/>
        </w:rPr>
        <w:t>规定了地下</w:t>
      </w:r>
      <w:r>
        <w:rPr>
          <w:rFonts w:hint="eastAsia"/>
          <w:sz w:val="24"/>
        </w:rPr>
        <w:t>管线数据获取</w:t>
      </w:r>
      <w:r>
        <w:rPr>
          <w:sz w:val="24"/>
        </w:rPr>
        <w:t>前期需要</w:t>
      </w:r>
      <w:r>
        <w:rPr>
          <w:rFonts w:hint="eastAsia"/>
          <w:sz w:val="24"/>
        </w:rPr>
        <w:t>进行的各项准备工作</w:t>
      </w:r>
      <w:r>
        <w:rPr>
          <w:sz w:val="24"/>
        </w:rPr>
        <w:t>。</w:t>
      </w:r>
    </w:p>
    <w:p>
      <w:pPr>
        <w:ind w:firstLine="480"/>
        <w:rPr>
          <w:sz w:val="24"/>
        </w:rPr>
      </w:pPr>
      <w:r>
        <w:rPr>
          <w:rFonts w:hint="eastAsia"/>
          <w:sz w:val="24"/>
        </w:rPr>
        <w:t>（7）</w:t>
      </w:r>
      <w:r>
        <w:rPr>
          <w:sz w:val="24"/>
        </w:rPr>
        <w:t>第7章</w:t>
      </w:r>
      <w:r>
        <w:rPr>
          <w:rFonts w:hint="eastAsia"/>
          <w:sz w:val="24"/>
        </w:rPr>
        <w:t>“</w:t>
      </w:r>
      <w:r>
        <w:rPr>
          <w:sz w:val="24"/>
        </w:rPr>
        <w:t>管线探查</w:t>
      </w:r>
      <w:r>
        <w:rPr>
          <w:rFonts w:hint="eastAsia"/>
          <w:sz w:val="24"/>
        </w:rPr>
        <w:t>”</w:t>
      </w:r>
      <w:r>
        <w:rPr>
          <w:sz w:val="24"/>
        </w:rPr>
        <w:t>规定了地下管线</w:t>
      </w:r>
      <w:r>
        <w:rPr>
          <w:rFonts w:hint="eastAsia"/>
          <w:sz w:val="24"/>
        </w:rPr>
        <w:t>数据获取的</w:t>
      </w:r>
      <w:r>
        <w:rPr>
          <w:sz w:val="24"/>
        </w:rPr>
        <w:t>实地调查</w:t>
      </w:r>
      <w:r>
        <w:rPr>
          <w:rFonts w:hint="eastAsia"/>
          <w:sz w:val="24"/>
        </w:rPr>
        <w:t>、探测及质量检查的方法</w:t>
      </w:r>
      <w:r>
        <w:rPr>
          <w:sz w:val="24"/>
        </w:rPr>
        <w:t>要求等。</w:t>
      </w:r>
    </w:p>
    <w:p>
      <w:pPr>
        <w:ind w:firstLine="480"/>
        <w:rPr>
          <w:sz w:val="24"/>
        </w:rPr>
      </w:pPr>
      <w:r>
        <w:rPr>
          <w:rFonts w:hint="eastAsia"/>
          <w:sz w:val="24"/>
        </w:rPr>
        <w:t>（8）</w:t>
      </w:r>
      <w:r>
        <w:rPr>
          <w:sz w:val="24"/>
        </w:rPr>
        <w:t>第8章</w:t>
      </w:r>
      <w:r>
        <w:rPr>
          <w:rFonts w:hint="eastAsia"/>
          <w:sz w:val="24"/>
        </w:rPr>
        <w:t>“</w:t>
      </w:r>
      <w:r>
        <w:rPr>
          <w:sz w:val="24"/>
        </w:rPr>
        <w:t>管线测量</w:t>
      </w:r>
      <w:r>
        <w:rPr>
          <w:rFonts w:hint="eastAsia"/>
          <w:sz w:val="24"/>
        </w:rPr>
        <w:t>”</w:t>
      </w:r>
      <w:r>
        <w:rPr>
          <w:sz w:val="24"/>
        </w:rPr>
        <w:t>规定了</w:t>
      </w:r>
      <w:r>
        <w:rPr>
          <w:rFonts w:hint="eastAsia"/>
          <w:sz w:val="24"/>
        </w:rPr>
        <w:t>控制测量、管线点测量及质量检查的方法要求。</w:t>
      </w:r>
    </w:p>
    <w:p>
      <w:pPr>
        <w:ind w:firstLine="480"/>
        <w:rPr>
          <w:sz w:val="24"/>
        </w:rPr>
      </w:pPr>
      <w:r>
        <w:rPr>
          <w:rFonts w:hint="eastAsia"/>
          <w:sz w:val="24"/>
        </w:rPr>
        <w:t>（9）第</w:t>
      </w:r>
      <w:r>
        <w:rPr>
          <w:sz w:val="24"/>
        </w:rPr>
        <w:t>9</w:t>
      </w:r>
      <w:r>
        <w:rPr>
          <w:rFonts w:hint="eastAsia"/>
          <w:sz w:val="24"/>
        </w:rPr>
        <w:t>章“管线放线和竣工测量”</w:t>
      </w:r>
      <w:r>
        <w:rPr>
          <w:sz w:val="24"/>
        </w:rPr>
        <w:t>规定了</w:t>
      </w:r>
      <w:r>
        <w:rPr>
          <w:rFonts w:hint="eastAsia"/>
          <w:sz w:val="24"/>
        </w:rPr>
        <w:t>地下管线记录册编制、地下管线放线及竣工测量等工作要求。</w:t>
      </w:r>
    </w:p>
    <w:p>
      <w:pPr>
        <w:ind w:firstLine="480"/>
        <w:rPr>
          <w:sz w:val="24"/>
        </w:rPr>
      </w:pPr>
      <w:r>
        <w:rPr>
          <w:rFonts w:hint="eastAsia"/>
          <w:sz w:val="24"/>
        </w:rPr>
        <w:t>（1</w:t>
      </w:r>
      <w:r>
        <w:rPr>
          <w:sz w:val="24"/>
        </w:rPr>
        <w:t>0</w:t>
      </w:r>
      <w:r>
        <w:rPr>
          <w:rFonts w:hint="eastAsia"/>
          <w:sz w:val="24"/>
        </w:rPr>
        <w:t>）</w:t>
      </w:r>
      <w:r>
        <w:rPr>
          <w:sz w:val="24"/>
        </w:rPr>
        <w:t>第10章</w:t>
      </w:r>
      <w:r>
        <w:rPr>
          <w:rFonts w:hint="eastAsia"/>
          <w:sz w:val="24"/>
        </w:rPr>
        <w:t>“数据处理与成果编制”</w:t>
      </w:r>
      <w:r>
        <w:rPr>
          <w:sz w:val="24"/>
        </w:rPr>
        <w:t>规定了数据库的文件命名、文件结构、数据要求</w:t>
      </w:r>
      <w:r>
        <w:rPr>
          <w:rFonts w:hint="eastAsia"/>
          <w:sz w:val="24"/>
        </w:rPr>
        <w:t>、</w:t>
      </w:r>
      <w:r>
        <w:rPr>
          <w:sz w:val="24"/>
        </w:rPr>
        <w:t>管线图编绘</w:t>
      </w:r>
      <w:r>
        <w:rPr>
          <w:rFonts w:hint="eastAsia"/>
          <w:sz w:val="24"/>
        </w:rPr>
        <w:t>、数据库建立等</w:t>
      </w:r>
      <w:r>
        <w:rPr>
          <w:sz w:val="24"/>
        </w:rPr>
        <w:t>工作</w:t>
      </w:r>
      <w:r>
        <w:rPr>
          <w:rFonts w:hint="eastAsia"/>
          <w:sz w:val="24"/>
        </w:rPr>
        <w:t>要求</w:t>
      </w:r>
      <w:r>
        <w:rPr>
          <w:sz w:val="24"/>
        </w:rPr>
        <w:t>。</w:t>
      </w:r>
    </w:p>
    <w:p>
      <w:pPr>
        <w:ind w:firstLine="480"/>
        <w:rPr>
          <w:sz w:val="24"/>
        </w:rPr>
      </w:pPr>
      <w:r>
        <w:rPr>
          <w:rFonts w:hint="eastAsia"/>
          <w:sz w:val="24"/>
        </w:rPr>
        <w:t>（1</w:t>
      </w:r>
      <w:r>
        <w:rPr>
          <w:sz w:val="24"/>
        </w:rPr>
        <w:t>1</w:t>
      </w:r>
      <w:r>
        <w:rPr>
          <w:rFonts w:hint="eastAsia"/>
          <w:sz w:val="24"/>
        </w:rPr>
        <w:t>）</w:t>
      </w:r>
      <w:r>
        <w:rPr>
          <w:sz w:val="24"/>
        </w:rPr>
        <w:t>第11章</w:t>
      </w:r>
      <w:r>
        <w:rPr>
          <w:rFonts w:hint="eastAsia"/>
          <w:sz w:val="24"/>
        </w:rPr>
        <w:t>“成果规格与命名”</w:t>
      </w:r>
      <w:r>
        <w:rPr>
          <w:sz w:val="24"/>
        </w:rPr>
        <w:t>对</w:t>
      </w:r>
      <w:r>
        <w:rPr>
          <w:rFonts w:hint="eastAsia"/>
          <w:sz w:val="24"/>
        </w:rPr>
        <w:t>提交成果的内容、规格及命名进行规定。</w:t>
      </w:r>
    </w:p>
    <w:p>
      <w:pPr>
        <w:ind w:firstLine="480"/>
        <w:rPr>
          <w:sz w:val="24"/>
        </w:rPr>
      </w:pPr>
      <w:r>
        <w:rPr>
          <w:rFonts w:hint="eastAsia"/>
          <w:sz w:val="24"/>
        </w:rPr>
        <w:t>（1</w:t>
      </w:r>
      <w:r>
        <w:rPr>
          <w:sz w:val="24"/>
        </w:rPr>
        <w:t>2</w:t>
      </w:r>
      <w:r>
        <w:rPr>
          <w:rFonts w:hint="eastAsia"/>
          <w:sz w:val="24"/>
        </w:rPr>
        <w:t>）</w:t>
      </w:r>
      <w:r>
        <w:rPr>
          <w:sz w:val="24"/>
        </w:rPr>
        <w:t>第12章</w:t>
      </w:r>
      <w:r>
        <w:rPr>
          <w:rFonts w:hint="eastAsia"/>
          <w:sz w:val="24"/>
        </w:rPr>
        <w:t>“</w:t>
      </w:r>
      <w:r>
        <w:rPr>
          <w:sz w:val="24"/>
        </w:rPr>
        <w:t>成果质量检验与验收</w:t>
      </w:r>
      <w:r>
        <w:rPr>
          <w:rFonts w:hint="eastAsia"/>
          <w:sz w:val="24"/>
        </w:rPr>
        <w:t>”</w:t>
      </w:r>
      <w:r>
        <w:rPr>
          <w:sz w:val="24"/>
        </w:rPr>
        <w:t>规定了</w:t>
      </w:r>
      <w:r>
        <w:rPr>
          <w:rFonts w:hint="eastAsia"/>
          <w:sz w:val="24"/>
        </w:rPr>
        <w:t>地下管线数据获取与建库</w:t>
      </w:r>
      <w:r>
        <w:rPr>
          <w:sz w:val="24"/>
        </w:rPr>
        <w:t>成果</w:t>
      </w:r>
      <w:r>
        <w:rPr>
          <w:rFonts w:hint="eastAsia"/>
          <w:sz w:val="24"/>
        </w:rPr>
        <w:t>的质量检查要求，成果验收方法及依据</w:t>
      </w:r>
      <w:r>
        <w:rPr>
          <w:sz w:val="24"/>
        </w:rPr>
        <w:t>等。</w:t>
      </w:r>
    </w:p>
    <w:p>
      <w:pPr>
        <w:pStyle w:val="4"/>
        <w:spacing w:before="120" w:after="120" w:line="360" w:lineRule="auto"/>
        <w:ind w:firstLine="0" w:firstLineChars="0"/>
        <w:rPr>
          <w:rFonts w:ascii="黑体" w:hAnsi="黑体" w:eastAsia="黑体"/>
          <w:b w:val="0"/>
          <w:sz w:val="24"/>
          <w:szCs w:val="24"/>
          <w:lang w:val="zh-CN"/>
        </w:rPr>
      </w:pPr>
      <w:bookmarkStart w:id="20" w:name="_Toc51502571"/>
      <w:bookmarkStart w:id="21" w:name="_Toc51502646"/>
      <w:bookmarkStart w:id="22" w:name="_Toc133586007"/>
      <w:r>
        <w:rPr>
          <w:rFonts w:ascii="黑体" w:hAnsi="黑体" w:eastAsia="黑体"/>
          <w:b w:val="0"/>
          <w:sz w:val="24"/>
          <w:szCs w:val="24"/>
          <w:lang w:val="zh-CN"/>
        </w:rPr>
        <w:t>4.6</w:t>
      </w:r>
      <w:r>
        <w:rPr>
          <w:rFonts w:hint="eastAsia" w:ascii="黑体" w:hAnsi="黑体" w:eastAsia="黑体"/>
          <w:b w:val="0"/>
          <w:sz w:val="24"/>
          <w:szCs w:val="24"/>
          <w:lang w:val="zh-CN"/>
        </w:rPr>
        <w:t>技术</w:t>
      </w:r>
      <w:r>
        <w:rPr>
          <w:rFonts w:ascii="黑体" w:hAnsi="黑体" w:eastAsia="黑体"/>
          <w:b w:val="0"/>
          <w:sz w:val="24"/>
          <w:szCs w:val="24"/>
          <w:lang w:val="zh-CN"/>
        </w:rPr>
        <w:t>特色</w:t>
      </w:r>
      <w:bookmarkEnd w:id="20"/>
      <w:bookmarkEnd w:id="21"/>
      <w:bookmarkEnd w:id="22"/>
    </w:p>
    <w:p>
      <w:pPr>
        <w:ind w:firstLine="480"/>
        <w:jc w:val="left"/>
        <w:rPr>
          <w:sz w:val="24"/>
        </w:rPr>
      </w:pPr>
      <w:r>
        <w:rPr>
          <w:sz w:val="24"/>
        </w:rPr>
        <w:t>本标准与原有标准的主要差异包括：</w:t>
      </w:r>
    </w:p>
    <w:p>
      <w:pPr>
        <w:ind w:firstLine="482"/>
        <w:jc w:val="left"/>
        <w:rPr>
          <w:b/>
          <w:sz w:val="24"/>
        </w:rPr>
      </w:pPr>
      <w:r>
        <w:rPr>
          <w:b/>
          <w:sz w:val="24"/>
        </w:rPr>
        <w:t>（1）增加</w:t>
      </w:r>
      <w:r>
        <w:rPr>
          <w:rFonts w:hint="eastAsia"/>
          <w:b/>
          <w:sz w:val="24"/>
        </w:rPr>
        <w:t>管线小类</w:t>
      </w:r>
      <w:r>
        <w:rPr>
          <w:b/>
          <w:sz w:val="24"/>
        </w:rPr>
        <w:t>。</w:t>
      </w:r>
    </w:p>
    <w:p>
      <w:pPr>
        <w:ind w:firstLine="480"/>
        <w:jc w:val="left"/>
        <w:rPr>
          <w:sz w:val="24"/>
        </w:rPr>
      </w:pPr>
      <w:r>
        <w:rPr>
          <w:rFonts w:hint="eastAsia"/>
          <w:sz w:val="24"/>
        </w:rPr>
        <w:t>在C</w:t>
      </w:r>
      <w:r>
        <w:rPr>
          <w:sz w:val="24"/>
        </w:rPr>
        <w:t>JJ 61-2017</w:t>
      </w:r>
      <w:r>
        <w:rPr>
          <w:rFonts w:hint="eastAsia"/>
          <w:sz w:val="24"/>
        </w:rPr>
        <w:t>《城市地下管线探测技术规程》对管线分类的基础上，根据南通本地管线分布实际的情况，给水大类中加入了“喷淋”小类；排水大类中加入“加压污水”小类；通信大类中加入了“中国电信”、“中国联通”、“移动通信”、</w:t>
      </w:r>
      <w:r>
        <w:rPr>
          <w:sz w:val="24"/>
        </w:rPr>
        <w:t>”</w:t>
      </w:r>
      <w:r>
        <w:rPr>
          <w:rFonts w:hint="eastAsia"/>
          <w:sz w:val="24"/>
        </w:rPr>
        <w:t>军用光缆</w:t>
      </w:r>
      <w:r>
        <w:rPr>
          <w:sz w:val="24"/>
        </w:rPr>
        <w:t>”</w:t>
      </w:r>
      <w:r>
        <w:rPr>
          <w:rFonts w:hint="eastAsia"/>
          <w:sz w:val="24"/>
        </w:rPr>
        <w:t>、“交警信号”、“监控”、“广播”、“消防信号”、“给水远传”、“通信合建”小类等。</w:t>
      </w:r>
    </w:p>
    <w:p>
      <w:pPr>
        <w:ind w:firstLine="482"/>
        <w:jc w:val="left"/>
        <w:rPr>
          <w:sz w:val="24"/>
        </w:rPr>
      </w:pPr>
      <w:r>
        <w:rPr>
          <w:b/>
          <w:sz w:val="24"/>
        </w:rPr>
        <w:t>（2）</w:t>
      </w:r>
      <w:r>
        <w:rPr>
          <w:rFonts w:hint="eastAsia"/>
          <w:b/>
          <w:sz w:val="24"/>
        </w:rPr>
        <w:t>增加管线属性字段</w:t>
      </w:r>
      <w:r>
        <w:rPr>
          <w:b/>
          <w:sz w:val="24"/>
        </w:rPr>
        <w:t>。</w:t>
      </w:r>
      <w:r>
        <w:rPr>
          <w:rFonts w:hint="eastAsia"/>
          <w:sz w:val="24"/>
        </w:rPr>
        <w:t>增加“附属物子类”字段，在专业管线调查中管线附属物进行更细化的分类；增加“淤堵情况”字段，填写管井的淤堵情况；增加“探测方法”字段，填写实际的探测方法，可进行管线成果精度的判定；管线坐落按照市政道路和住宅小区、企事业单位进行区分，方便进行不同分布区域的管线统计；增加合建及借用场景，方便后期的三维建模及合建统计。</w:t>
      </w:r>
    </w:p>
    <w:p>
      <w:pPr>
        <w:ind w:firstLine="482"/>
        <w:jc w:val="left"/>
        <w:rPr>
          <w:sz w:val="24"/>
        </w:rPr>
      </w:pPr>
      <w:r>
        <w:rPr>
          <w:b/>
          <w:sz w:val="24"/>
        </w:rPr>
        <w:t>（3）</w:t>
      </w:r>
      <w:r>
        <w:rPr>
          <w:rFonts w:hint="eastAsia"/>
          <w:b/>
          <w:sz w:val="24"/>
        </w:rPr>
        <w:t>增加拓展属性表</w:t>
      </w:r>
      <w:r>
        <w:rPr>
          <w:b/>
          <w:sz w:val="24"/>
        </w:rPr>
        <w:t>。</w:t>
      </w:r>
      <w:r>
        <w:rPr>
          <w:rFonts w:hint="eastAsia"/>
          <w:sz w:val="24"/>
        </w:rPr>
        <w:t>在管线基础表之外，新增了管线安全防护专题信息表、物联网监测专题属性表。</w:t>
      </w:r>
    </w:p>
    <w:p>
      <w:pPr>
        <w:ind w:firstLine="482"/>
        <w:jc w:val="left"/>
        <w:rPr>
          <w:sz w:val="24"/>
        </w:rPr>
      </w:pPr>
      <w:r>
        <w:rPr>
          <w:b/>
          <w:sz w:val="24"/>
        </w:rPr>
        <w:t>（4）</w:t>
      </w:r>
      <w:r>
        <w:rPr>
          <w:rFonts w:hint="eastAsia"/>
          <w:b/>
          <w:sz w:val="24"/>
        </w:rPr>
        <w:t>对重点管线进行专项要求</w:t>
      </w:r>
      <w:r>
        <w:rPr>
          <w:sz w:val="24"/>
        </w:rPr>
        <w:t>。</w:t>
      </w:r>
      <w:r>
        <w:rPr>
          <w:rFonts w:hint="eastAsia"/>
          <w:sz w:val="24"/>
        </w:rPr>
        <w:t>对于非开挖超深管线、P</w:t>
      </w:r>
      <w:r>
        <w:rPr>
          <w:sz w:val="24"/>
        </w:rPr>
        <w:t>E</w:t>
      </w:r>
      <w:r>
        <w:rPr>
          <w:rFonts w:hint="eastAsia"/>
          <w:sz w:val="24"/>
        </w:rPr>
        <w:t>管等非金属管线按照项目类型规定了探测方法及精度的要求</w:t>
      </w:r>
      <w:r>
        <w:rPr>
          <w:sz w:val="24"/>
        </w:rPr>
        <w:t>。</w:t>
      </w:r>
    </w:p>
    <w:p>
      <w:pPr>
        <w:ind w:firstLine="482"/>
        <w:jc w:val="left"/>
        <w:rPr>
          <w:rFonts w:eastAsia="黑体"/>
          <w:szCs w:val="21"/>
        </w:rPr>
      </w:pPr>
      <w:r>
        <w:rPr>
          <w:b/>
          <w:sz w:val="24"/>
        </w:rPr>
        <w:t>（5）</w:t>
      </w:r>
      <w:r>
        <w:rPr>
          <w:rFonts w:hint="eastAsia"/>
          <w:b/>
          <w:sz w:val="24"/>
        </w:rPr>
        <w:t>增加管线规划测量技术要求</w:t>
      </w:r>
      <w:r>
        <w:rPr>
          <w:b/>
          <w:sz w:val="24"/>
        </w:rPr>
        <w:t>。</w:t>
      </w:r>
      <w:r>
        <w:rPr>
          <w:rFonts w:hint="eastAsia"/>
          <w:sz w:val="24"/>
        </w:rPr>
        <w:t>根据南通地下管线全生命周期的管理需求，对管线记录册编制、管线放样、管线竣工测量等规划测量工作进行规定</w:t>
      </w:r>
    </w:p>
    <w:p>
      <w:pPr>
        <w:spacing w:before="156" w:beforeLines="50"/>
        <w:ind w:firstLine="482"/>
        <w:jc w:val="left"/>
        <w:rPr>
          <w:sz w:val="24"/>
        </w:rPr>
      </w:pPr>
      <w:r>
        <w:rPr>
          <w:b/>
          <w:sz w:val="24"/>
        </w:rPr>
        <w:t>（6）</w:t>
      </w:r>
      <w:r>
        <w:rPr>
          <w:rFonts w:hint="eastAsia"/>
          <w:b/>
          <w:sz w:val="24"/>
        </w:rPr>
        <w:t>对小区管线探测相关工作进行规定</w:t>
      </w:r>
      <w:r>
        <w:rPr>
          <w:sz w:val="24"/>
        </w:rPr>
        <w:t>。</w:t>
      </w:r>
      <w:r>
        <w:rPr>
          <w:rFonts w:hint="eastAsia"/>
          <w:sz w:val="24"/>
        </w:rPr>
        <w:t>不同于市政道路的管线探测，小区的管线种类多、分布复杂，对小区管线探测的取舍标准、探测要求、成果图标准等进行了规定。</w:t>
      </w:r>
    </w:p>
    <w:p>
      <w:pPr>
        <w:pStyle w:val="3"/>
        <w:spacing w:before="0" w:after="0" w:line="360" w:lineRule="auto"/>
        <w:ind w:firstLine="0" w:firstLineChars="0"/>
        <w:rPr>
          <w:rFonts w:ascii="黑体" w:hAnsi="黑体" w:eastAsia="黑体"/>
          <w:b w:val="0"/>
          <w:sz w:val="28"/>
          <w:szCs w:val="28"/>
          <w:lang w:val="zh-CN"/>
        </w:rPr>
      </w:pPr>
      <w:bookmarkStart w:id="23" w:name="_Toc133586008"/>
      <w:r>
        <w:rPr>
          <w:rFonts w:ascii="黑体" w:hAnsi="黑体" w:eastAsia="黑体"/>
          <w:b w:val="0"/>
          <w:sz w:val="28"/>
          <w:szCs w:val="28"/>
          <w:lang w:val="zh-CN"/>
        </w:rPr>
        <w:t>5</w:t>
      </w:r>
      <w:r>
        <w:rPr>
          <w:rFonts w:hint="eastAsia" w:ascii="黑体" w:hAnsi="黑体" w:eastAsia="黑体"/>
          <w:b w:val="0"/>
          <w:sz w:val="28"/>
          <w:szCs w:val="28"/>
          <w:lang w:val="zh-CN"/>
        </w:rPr>
        <w:t>．与相关法律</w:t>
      </w:r>
      <w:r>
        <w:rPr>
          <w:rFonts w:ascii="黑体" w:hAnsi="黑体" w:eastAsia="黑体"/>
          <w:b w:val="0"/>
          <w:sz w:val="28"/>
          <w:szCs w:val="28"/>
          <w:lang w:val="zh-CN"/>
        </w:rPr>
        <w:t>法规</w:t>
      </w:r>
      <w:r>
        <w:rPr>
          <w:rFonts w:hint="eastAsia" w:ascii="黑体" w:hAnsi="黑体" w:eastAsia="黑体"/>
          <w:b w:val="0"/>
          <w:sz w:val="28"/>
          <w:szCs w:val="28"/>
          <w:lang w:val="zh-CN"/>
        </w:rPr>
        <w:t>和</w:t>
      </w:r>
      <w:r>
        <w:rPr>
          <w:rFonts w:ascii="黑体" w:hAnsi="黑体" w:eastAsia="黑体"/>
          <w:b w:val="0"/>
          <w:sz w:val="28"/>
          <w:szCs w:val="28"/>
          <w:lang w:val="zh-CN"/>
        </w:rPr>
        <w:t>标准的关系</w:t>
      </w:r>
      <w:bookmarkEnd w:id="23"/>
    </w:p>
    <w:p>
      <w:pPr>
        <w:ind w:firstLine="482"/>
        <w:rPr>
          <w:b/>
          <w:sz w:val="24"/>
        </w:rPr>
      </w:pPr>
      <w:r>
        <w:rPr>
          <w:rFonts w:hint="eastAsia"/>
          <w:b/>
          <w:sz w:val="24"/>
        </w:rPr>
        <w:t>（1）符合</w:t>
      </w:r>
      <w:r>
        <w:rPr>
          <w:b/>
          <w:sz w:val="24"/>
        </w:rPr>
        <w:t>现行相关法律法规</w:t>
      </w:r>
    </w:p>
    <w:p>
      <w:pPr>
        <w:ind w:firstLine="480"/>
        <w:rPr>
          <w:sz w:val="24"/>
        </w:rPr>
      </w:pPr>
      <w:r>
        <w:rPr>
          <w:rFonts w:hint="eastAsia"/>
          <w:sz w:val="24"/>
        </w:rPr>
        <w:t>本标准符合</w:t>
      </w:r>
      <w:r>
        <w:rPr>
          <w:sz w:val="24"/>
        </w:rPr>
        <w:t>现行下列法律法规</w:t>
      </w:r>
      <w:r>
        <w:rPr>
          <w:rFonts w:hint="eastAsia"/>
          <w:sz w:val="24"/>
        </w:rPr>
        <w:t>：</w:t>
      </w:r>
    </w:p>
    <w:p>
      <w:pPr>
        <w:ind w:firstLine="480"/>
        <w:rPr>
          <w:sz w:val="24"/>
        </w:rPr>
      </w:pPr>
      <w:r>
        <w:rPr>
          <w:rFonts w:hint="eastAsia"/>
          <w:sz w:val="24"/>
        </w:rPr>
        <w:t>《中华人民</w:t>
      </w:r>
      <w:r>
        <w:rPr>
          <w:sz w:val="24"/>
        </w:rPr>
        <w:t>共和国测绘法</w:t>
      </w:r>
      <w:r>
        <w:rPr>
          <w:rFonts w:hint="eastAsia"/>
          <w:sz w:val="24"/>
        </w:rPr>
        <w:t>》（2017年4月27日）</w:t>
      </w:r>
    </w:p>
    <w:p>
      <w:pPr>
        <w:ind w:firstLine="480"/>
        <w:rPr>
          <w:sz w:val="24"/>
        </w:rPr>
      </w:pPr>
      <w:r>
        <w:rPr>
          <w:rFonts w:hint="eastAsia"/>
          <w:sz w:val="24"/>
        </w:rPr>
        <w:t>《中华人民</w:t>
      </w:r>
      <w:r>
        <w:rPr>
          <w:sz w:val="24"/>
        </w:rPr>
        <w:t>共和国</w:t>
      </w:r>
      <w:r>
        <w:rPr>
          <w:rFonts w:hint="eastAsia"/>
          <w:sz w:val="24"/>
        </w:rPr>
        <w:t>城乡规划</w:t>
      </w:r>
      <w:r>
        <w:rPr>
          <w:sz w:val="24"/>
        </w:rPr>
        <w:t>法</w:t>
      </w:r>
      <w:r>
        <w:rPr>
          <w:rFonts w:hint="eastAsia"/>
          <w:sz w:val="24"/>
        </w:rPr>
        <w:t>》（20</w:t>
      </w:r>
      <w:r>
        <w:rPr>
          <w:sz w:val="24"/>
        </w:rPr>
        <w:t>0</w:t>
      </w:r>
      <w:r>
        <w:rPr>
          <w:rFonts w:hint="eastAsia"/>
          <w:sz w:val="24"/>
        </w:rPr>
        <w:t>7年</w:t>
      </w:r>
      <w:r>
        <w:rPr>
          <w:sz w:val="24"/>
        </w:rPr>
        <w:t>10</w:t>
      </w:r>
      <w:r>
        <w:rPr>
          <w:rFonts w:hint="eastAsia"/>
          <w:sz w:val="24"/>
        </w:rPr>
        <w:t>月）</w:t>
      </w:r>
    </w:p>
    <w:p>
      <w:pPr>
        <w:ind w:firstLine="480"/>
        <w:rPr>
          <w:sz w:val="24"/>
        </w:rPr>
      </w:pPr>
      <w:r>
        <w:rPr>
          <w:rFonts w:hint="eastAsia"/>
          <w:sz w:val="24"/>
        </w:rPr>
        <w:t>《基础测绘</w:t>
      </w:r>
      <w:r>
        <w:rPr>
          <w:sz w:val="24"/>
        </w:rPr>
        <w:t>条例</w:t>
      </w:r>
      <w:r>
        <w:rPr>
          <w:rFonts w:hint="eastAsia"/>
          <w:sz w:val="24"/>
        </w:rPr>
        <w:t>》（</w:t>
      </w:r>
      <w:r>
        <w:rPr>
          <w:sz w:val="24"/>
        </w:rPr>
        <w:t>2009</w:t>
      </w:r>
      <w:r>
        <w:rPr>
          <w:rFonts w:hint="eastAsia"/>
          <w:sz w:val="24"/>
        </w:rPr>
        <w:t>年5月12日）</w:t>
      </w:r>
    </w:p>
    <w:p>
      <w:pPr>
        <w:ind w:firstLine="480"/>
        <w:rPr>
          <w:sz w:val="24"/>
        </w:rPr>
      </w:pPr>
      <w:r>
        <w:rPr>
          <w:rFonts w:hint="eastAsia"/>
          <w:sz w:val="24"/>
        </w:rPr>
        <w:t>《江苏省测绘</w:t>
      </w:r>
      <w:r>
        <w:rPr>
          <w:sz w:val="24"/>
        </w:rPr>
        <w:t>地理信息条例</w:t>
      </w:r>
      <w:r>
        <w:rPr>
          <w:rFonts w:hint="eastAsia"/>
          <w:sz w:val="24"/>
        </w:rPr>
        <w:t>》（</w:t>
      </w:r>
      <w:r>
        <w:rPr>
          <w:sz w:val="24"/>
        </w:rPr>
        <w:t>2018</w:t>
      </w:r>
      <w:r>
        <w:rPr>
          <w:rFonts w:hint="eastAsia"/>
          <w:sz w:val="24"/>
        </w:rPr>
        <w:t>年</w:t>
      </w:r>
      <w:r>
        <w:rPr>
          <w:sz w:val="24"/>
        </w:rPr>
        <w:t>1</w:t>
      </w:r>
      <w:r>
        <w:rPr>
          <w:rFonts w:hint="eastAsia"/>
          <w:sz w:val="24"/>
        </w:rPr>
        <w:t>月</w:t>
      </w:r>
      <w:r>
        <w:rPr>
          <w:sz w:val="24"/>
        </w:rPr>
        <w:t>24</w:t>
      </w:r>
      <w:r>
        <w:rPr>
          <w:rFonts w:hint="eastAsia"/>
          <w:sz w:val="24"/>
        </w:rPr>
        <w:t>日）</w:t>
      </w:r>
    </w:p>
    <w:p>
      <w:pPr>
        <w:ind w:firstLine="480"/>
        <w:rPr>
          <w:sz w:val="24"/>
        </w:rPr>
      </w:pPr>
      <w:r>
        <w:rPr>
          <w:rFonts w:hint="eastAsia"/>
          <w:sz w:val="24"/>
        </w:rPr>
        <w:t>《江苏省城乡</w:t>
      </w:r>
      <w:r>
        <w:rPr>
          <w:sz w:val="24"/>
        </w:rPr>
        <w:t>规划条例</w:t>
      </w:r>
      <w:r>
        <w:rPr>
          <w:rFonts w:hint="eastAsia"/>
          <w:sz w:val="24"/>
        </w:rPr>
        <w:t>》（</w:t>
      </w:r>
      <w:r>
        <w:rPr>
          <w:sz w:val="24"/>
        </w:rPr>
        <w:t>2010</w:t>
      </w:r>
      <w:r>
        <w:rPr>
          <w:rFonts w:hint="eastAsia"/>
          <w:sz w:val="24"/>
        </w:rPr>
        <w:t>年</w:t>
      </w:r>
      <w:r>
        <w:rPr>
          <w:sz w:val="24"/>
        </w:rPr>
        <w:t>3</w:t>
      </w:r>
      <w:r>
        <w:rPr>
          <w:rFonts w:hint="eastAsia"/>
          <w:sz w:val="24"/>
        </w:rPr>
        <w:t>月）</w:t>
      </w:r>
    </w:p>
    <w:p>
      <w:pPr>
        <w:ind w:firstLine="480"/>
        <w:rPr>
          <w:sz w:val="24"/>
        </w:rPr>
      </w:pPr>
      <w:r>
        <w:rPr>
          <w:rFonts w:hint="eastAsia"/>
          <w:sz w:val="24"/>
        </w:rPr>
        <w:t>《江苏省城市规划</w:t>
      </w:r>
      <w:r>
        <w:rPr>
          <w:sz w:val="24"/>
        </w:rPr>
        <w:t>管理技术规定（</w:t>
      </w:r>
      <w:r>
        <w:rPr>
          <w:rFonts w:hint="eastAsia"/>
          <w:sz w:val="24"/>
        </w:rPr>
        <w:t>2011年</w:t>
      </w:r>
      <w:r>
        <w:rPr>
          <w:sz w:val="24"/>
        </w:rPr>
        <w:t>版）</w:t>
      </w:r>
      <w:r>
        <w:rPr>
          <w:rFonts w:hint="eastAsia"/>
          <w:sz w:val="24"/>
        </w:rPr>
        <w:t>》（江苏省住房</w:t>
      </w:r>
      <w:r>
        <w:rPr>
          <w:sz w:val="24"/>
        </w:rPr>
        <w:t>和城乡建设厅编制</w:t>
      </w:r>
      <w:r>
        <w:rPr>
          <w:rFonts w:hint="eastAsia"/>
          <w:sz w:val="24"/>
        </w:rPr>
        <w:t>）</w:t>
      </w:r>
    </w:p>
    <w:p>
      <w:pPr>
        <w:ind w:firstLine="482"/>
        <w:rPr>
          <w:b/>
          <w:sz w:val="24"/>
        </w:rPr>
      </w:pPr>
      <w:r>
        <w:rPr>
          <w:rFonts w:hint="eastAsia"/>
          <w:b/>
          <w:sz w:val="24"/>
        </w:rPr>
        <w:t>（2）结合已有相关标准进行提升</w:t>
      </w:r>
    </w:p>
    <w:p>
      <w:pPr>
        <w:ind w:firstLine="480"/>
        <w:rPr>
          <w:sz w:val="24"/>
        </w:rPr>
      </w:pPr>
      <w:r>
        <w:rPr>
          <w:rFonts w:hint="eastAsia"/>
          <w:sz w:val="24"/>
        </w:rPr>
        <w:t>本标准与现行相关标准关系如下表：</w:t>
      </w:r>
    </w:p>
    <w:tbl>
      <w:tblPr>
        <w:tblStyle w:val="16"/>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34"/>
        <w:gridCol w:w="1890"/>
        <w:gridCol w:w="1418"/>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pPr>
              <w:ind w:firstLine="0" w:firstLineChars="0"/>
              <w:jc w:val="center"/>
              <w:rPr>
                <w:b/>
                <w:bCs/>
                <w:szCs w:val="21"/>
              </w:rPr>
            </w:pPr>
            <w:r>
              <w:rPr>
                <w:rFonts w:hint="eastAsia"/>
                <w:b/>
                <w:bCs/>
                <w:szCs w:val="21"/>
              </w:rPr>
              <w:t>标准编号及名称</w:t>
            </w:r>
          </w:p>
        </w:tc>
        <w:tc>
          <w:tcPr>
            <w:tcW w:w="1134" w:type="dxa"/>
            <w:vAlign w:val="center"/>
          </w:tcPr>
          <w:p>
            <w:pPr>
              <w:ind w:firstLine="0" w:firstLineChars="0"/>
              <w:jc w:val="center"/>
              <w:rPr>
                <w:b/>
                <w:bCs/>
                <w:szCs w:val="21"/>
              </w:rPr>
            </w:pPr>
            <w:r>
              <w:rPr>
                <w:rFonts w:hint="eastAsia"/>
                <w:b/>
                <w:bCs/>
                <w:szCs w:val="21"/>
              </w:rPr>
              <w:t>标准类型</w:t>
            </w:r>
          </w:p>
        </w:tc>
        <w:tc>
          <w:tcPr>
            <w:tcW w:w="1890" w:type="dxa"/>
            <w:vAlign w:val="center"/>
          </w:tcPr>
          <w:p>
            <w:pPr>
              <w:ind w:firstLine="0" w:firstLineChars="0"/>
              <w:jc w:val="center"/>
              <w:rPr>
                <w:b/>
                <w:bCs/>
                <w:szCs w:val="21"/>
              </w:rPr>
            </w:pPr>
            <w:r>
              <w:rPr>
                <w:rFonts w:hint="eastAsia"/>
                <w:b/>
                <w:bCs/>
                <w:szCs w:val="21"/>
              </w:rPr>
              <w:t>相关内容</w:t>
            </w:r>
          </w:p>
        </w:tc>
        <w:tc>
          <w:tcPr>
            <w:tcW w:w="1418" w:type="dxa"/>
            <w:vAlign w:val="center"/>
          </w:tcPr>
          <w:p>
            <w:pPr>
              <w:ind w:firstLine="0" w:firstLineChars="0"/>
              <w:jc w:val="center"/>
              <w:rPr>
                <w:b/>
                <w:bCs/>
                <w:szCs w:val="21"/>
              </w:rPr>
            </w:pPr>
            <w:r>
              <w:rPr>
                <w:rFonts w:hint="eastAsia"/>
                <w:b/>
                <w:bCs/>
                <w:szCs w:val="21"/>
              </w:rPr>
              <w:t>存在问题</w:t>
            </w:r>
          </w:p>
        </w:tc>
        <w:tc>
          <w:tcPr>
            <w:tcW w:w="2441" w:type="dxa"/>
            <w:vAlign w:val="center"/>
          </w:tcPr>
          <w:p>
            <w:pPr>
              <w:ind w:firstLine="0" w:firstLineChars="0"/>
              <w:jc w:val="center"/>
              <w:rPr>
                <w:b/>
                <w:bCs/>
                <w:szCs w:val="21"/>
              </w:rPr>
            </w:pPr>
            <w:r>
              <w:rPr>
                <w:rFonts w:hint="eastAsia"/>
                <w:b/>
                <w:bCs/>
                <w:szCs w:val="21"/>
              </w:rPr>
              <w:t>本标准情况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vAlign w:val="center"/>
          </w:tcPr>
          <w:p>
            <w:pPr>
              <w:ind w:firstLine="0" w:firstLineChars="0"/>
              <w:rPr>
                <w:szCs w:val="21"/>
              </w:rPr>
            </w:pPr>
            <w:r>
              <w:rPr>
                <w:rFonts w:hint="eastAsia"/>
              </w:rPr>
              <w:t>GB/T</w:t>
            </w:r>
            <w:r>
              <w:t xml:space="preserve"> </w:t>
            </w:r>
            <w:r>
              <w:rPr>
                <w:rFonts w:hint="eastAsia"/>
              </w:rPr>
              <w:t>3</w:t>
            </w:r>
            <w:r>
              <w:rPr>
                <w:rFonts w:hint="eastAsia"/>
                <w:szCs w:val="21"/>
              </w:rPr>
              <w:t>5644《地下管线数据获取规程》</w:t>
            </w:r>
          </w:p>
        </w:tc>
        <w:tc>
          <w:tcPr>
            <w:tcW w:w="1134" w:type="dxa"/>
            <w:vAlign w:val="center"/>
          </w:tcPr>
          <w:p>
            <w:pPr>
              <w:ind w:firstLine="0" w:firstLineChars="0"/>
              <w:rPr>
                <w:sz w:val="24"/>
              </w:rPr>
            </w:pPr>
            <w:r>
              <w:rPr>
                <w:rFonts w:hint="eastAsia"/>
                <w:szCs w:val="21"/>
              </w:rPr>
              <w:t>国家标准</w:t>
            </w:r>
          </w:p>
        </w:tc>
        <w:tc>
          <w:tcPr>
            <w:tcW w:w="1890" w:type="dxa"/>
          </w:tcPr>
          <w:p>
            <w:pPr>
              <w:ind w:firstLine="0" w:firstLineChars="0"/>
              <w:rPr>
                <w:szCs w:val="21"/>
              </w:rPr>
            </w:pPr>
            <w:r>
              <w:rPr>
                <w:rFonts w:hint="eastAsia"/>
                <w:szCs w:val="21"/>
              </w:rPr>
              <w:t>包含了技术准备、数据采集、数据处理等内容，适用于各类金属、非金属管道及线缆等管线数据获取，还包括管线竣工测量等内容</w:t>
            </w:r>
          </w:p>
        </w:tc>
        <w:tc>
          <w:tcPr>
            <w:tcW w:w="1418" w:type="dxa"/>
          </w:tcPr>
          <w:p>
            <w:pPr>
              <w:ind w:firstLine="0" w:firstLineChars="0"/>
              <w:rPr>
                <w:szCs w:val="21"/>
              </w:rPr>
            </w:pPr>
            <w:r>
              <w:rPr>
                <w:rFonts w:hint="eastAsia"/>
                <w:szCs w:val="21"/>
              </w:rPr>
              <w:t>技术方法、规定要求不够详细，部分要求（如管线的分类）不符合本地实际</w:t>
            </w:r>
          </w:p>
        </w:tc>
        <w:tc>
          <w:tcPr>
            <w:tcW w:w="2441" w:type="dxa"/>
          </w:tcPr>
          <w:p>
            <w:pPr>
              <w:ind w:firstLine="0" w:firstLineChars="0"/>
              <w:rPr>
                <w:sz w:val="24"/>
              </w:rPr>
            </w:pPr>
            <w:r>
              <w:rPr>
                <w:rFonts w:hint="eastAsia"/>
                <w:szCs w:val="21"/>
              </w:rPr>
              <w:t>本标准在篇章结构上进行了参考，并参考了部分数据库字段的设置等</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pPr>
              <w:ind w:firstLine="0" w:firstLineChars="0"/>
              <w:rPr>
                <w:szCs w:val="21"/>
              </w:rPr>
            </w:pPr>
            <w:r>
              <w:rPr>
                <w:rFonts w:hint="eastAsia" w:ascii="宋体" w:hAnsi="宋体"/>
                <w:szCs w:val="21"/>
              </w:rPr>
              <w:t>C</w:t>
            </w:r>
            <w:r>
              <w:rPr>
                <w:rFonts w:ascii="宋体" w:hAnsi="宋体"/>
                <w:szCs w:val="21"/>
              </w:rPr>
              <w:t>JJ 63</w:t>
            </w:r>
            <w:r>
              <w:rPr>
                <w:rFonts w:hint="eastAsia" w:ascii="宋体" w:hAnsi="宋体"/>
                <w:szCs w:val="21"/>
              </w:rPr>
              <w:t>《城市地下管线探测技术规程》</w:t>
            </w:r>
          </w:p>
        </w:tc>
        <w:tc>
          <w:tcPr>
            <w:tcW w:w="1134" w:type="dxa"/>
            <w:vAlign w:val="center"/>
          </w:tcPr>
          <w:p>
            <w:pPr>
              <w:ind w:firstLine="0" w:firstLineChars="0"/>
              <w:rPr>
                <w:szCs w:val="21"/>
              </w:rPr>
            </w:pPr>
            <w:r>
              <w:rPr>
                <w:rFonts w:hint="eastAsia"/>
                <w:szCs w:val="21"/>
              </w:rPr>
              <w:t>行业标准</w:t>
            </w:r>
          </w:p>
        </w:tc>
        <w:tc>
          <w:tcPr>
            <w:tcW w:w="1890" w:type="dxa"/>
          </w:tcPr>
          <w:p>
            <w:pPr>
              <w:ind w:firstLine="0" w:firstLineChars="0"/>
              <w:rPr>
                <w:szCs w:val="21"/>
              </w:rPr>
            </w:pPr>
            <w:r>
              <w:rPr>
                <w:rFonts w:hint="eastAsia"/>
                <w:szCs w:val="21"/>
              </w:rPr>
              <w:t>本标准是地下管线探测行业主要执行的标准</w:t>
            </w:r>
          </w:p>
        </w:tc>
        <w:tc>
          <w:tcPr>
            <w:tcW w:w="1418" w:type="dxa"/>
          </w:tcPr>
          <w:p>
            <w:pPr>
              <w:ind w:firstLine="0" w:firstLineChars="0"/>
              <w:rPr>
                <w:szCs w:val="21"/>
              </w:rPr>
            </w:pPr>
            <w:r>
              <w:rPr>
                <w:rFonts w:hint="eastAsia"/>
                <w:szCs w:val="21"/>
              </w:rPr>
              <w:t>城市管线的分类不够全面，未对不同需求类型的管线项目进行分类，数据库不是以空间数据库形式进行设置</w:t>
            </w:r>
          </w:p>
        </w:tc>
        <w:tc>
          <w:tcPr>
            <w:tcW w:w="2441" w:type="dxa"/>
          </w:tcPr>
          <w:p>
            <w:pPr>
              <w:ind w:firstLine="0" w:firstLineChars="0"/>
              <w:rPr>
                <w:sz w:val="24"/>
              </w:rPr>
            </w:pPr>
            <w:r>
              <w:rPr>
                <w:rFonts w:hint="eastAsia"/>
                <w:szCs w:val="21"/>
              </w:rPr>
              <w:t>本标准引用了主要精度指标及技术要求等，按照南通本地的实际情况对管线分类进行细化，对数据库字段进行了丰富，更符合管线行业管理及数据应用要求。除管线基础属性外还扩展了安全隐患属性数据及物联网监测数据，更能够满足各项其他需求</w:t>
            </w:r>
          </w:p>
        </w:tc>
      </w:tr>
    </w:tbl>
    <w:p>
      <w:pPr>
        <w:pStyle w:val="3"/>
        <w:spacing w:before="0" w:after="0" w:line="360" w:lineRule="auto"/>
        <w:ind w:firstLine="0" w:firstLineChars="0"/>
        <w:rPr>
          <w:rFonts w:ascii="黑体" w:hAnsi="黑体" w:eastAsia="黑体"/>
          <w:b w:val="0"/>
          <w:sz w:val="28"/>
          <w:szCs w:val="28"/>
          <w:lang w:val="zh-CN"/>
        </w:rPr>
      </w:pPr>
      <w:bookmarkStart w:id="24" w:name="_Toc133586009"/>
      <w:r>
        <w:rPr>
          <w:rFonts w:hint="eastAsia" w:ascii="黑体" w:hAnsi="黑体" w:eastAsia="黑体"/>
          <w:b w:val="0"/>
          <w:sz w:val="28"/>
          <w:szCs w:val="28"/>
          <w:lang w:val="zh-CN"/>
        </w:rPr>
        <w:t>6．</w:t>
      </w:r>
      <w:r>
        <w:rPr>
          <w:rFonts w:ascii="黑体" w:hAnsi="黑体" w:eastAsia="黑体"/>
          <w:b w:val="0"/>
          <w:sz w:val="28"/>
          <w:szCs w:val="28"/>
          <w:lang w:val="zh-CN"/>
        </w:rPr>
        <w:t>实施推广建议</w:t>
      </w:r>
      <w:bookmarkEnd w:id="24"/>
    </w:p>
    <w:p>
      <w:pPr>
        <w:pStyle w:val="4"/>
        <w:spacing w:before="120" w:after="120" w:line="360" w:lineRule="auto"/>
        <w:ind w:firstLine="0" w:firstLineChars="0"/>
        <w:rPr>
          <w:rFonts w:ascii="黑体" w:hAnsi="黑体" w:eastAsia="黑体"/>
          <w:b w:val="0"/>
          <w:sz w:val="24"/>
          <w:szCs w:val="24"/>
          <w:lang w:val="zh-CN"/>
        </w:rPr>
      </w:pPr>
      <w:bookmarkStart w:id="25" w:name="_Toc133586010"/>
      <w:r>
        <w:rPr>
          <w:rFonts w:hint="eastAsia" w:ascii="黑体" w:hAnsi="黑体" w:eastAsia="黑体"/>
          <w:b w:val="0"/>
          <w:sz w:val="24"/>
          <w:szCs w:val="24"/>
          <w:lang w:val="zh-CN"/>
        </w:rPr>
        <w:t>6.1适合地域</w:t>
      </w:r>
      <w:bookmarkEnd w:id="25"/>
    </w:p>
    <w:p>
      <w:pPr>
        <w:ind w:firstLine="480"/>
        <w:rPr>
          <w:sz w:val="24"/>
        </w:rPr>
      </w:pPr>
      <w:r>
        <w:rPr>
          <w:rFonts w:hint="eastAsia"/>
          <w:sz w:val="24"/>
        </w:rPr>
        <w:t>本</w:t>
      </w:r>
      <w:r>
        <w:rPr>
          <w:sz w:val="24"/>
        </w:rPr>
        <w:t>标准</w:t>
      </w:r>
      <w:r>
        <w:rPr>
          <w:rFonts w:hint="eastAsia"/>
          <w:sz w:val="24"/>
        </w:rPr>
        <w:t>适用于</w:t>
      </w:r>
      <w:r>
        <w:rPr>
          <w:sz w:val="24"/>
        </w:rPr>
        <w:t>南通</w:t>
      </w:r>
      <w:r>
        <w:rPr>
          <w:rFonts w:hint="eastAsia"/>
          <w:sz w:val="24"/>
        </w:rPr>
        <w:t>市域</w:t>
      </w:r>
      <w:r>
        <w:rPr>
          <w:sz w:val="24"/>
        </w:rPr>
        <w:t>范围</w:t>
      </w:r>
      <w:r>
        <w:rPr>
          <w:rFonts w:hint="eastAsia"/>
          <w:sz w:val="24"/>
        </w:rPr>
        <w:t>，</w:t>
      </w:r>
      <w:r>
        <w:rPr>
          <w:sz w:val="24"/>
        </w:rPr>
        <w:t>对周边地区具有一定参考价值。</w:t>
      </w:r>
    </w:p>
    <w:p>
      <w:pPr>
        <w:pStyle w:val="4"/>
        <w:spacing w:before="120" w:after="120" w:line="360" w:lineRule="auto"/>
        <w:ind w:firstLine="0" w:firstLineChars="0"/>
        <w:rPr>
          <w:rFonts w:ascii="黑体" w:hAnsi="黑体" w:eastAsia="黑体"/>
          <w:b w:val="0"/>
          <w:sz w:val="24"/>
          <w:szCs w:val="24"/>
          <w:lang w:val="zh-CN"/>
        </w:rPr>
      </w:pPr>
      <w:bookmarkStart w:id="26" w:name="_Toc133586011"/>
      <w:r>
        <w:rPr>
          <w:rFonts w:hint="eastAsia" w:ascii="黑体" w:hAnsi="黑体" w:eastAsia="黑体"/>
          <w:b w:val="0"/>
          <w:sz w:val="24"/>
          <w:szCs w:val="24"/>
          <w:lang w:val="zh-CN"/>
        </w:rPr>
        <w:t>6.</w:t>
      </w:r>
      <w:r>
        <w:rPr>
          <w:rFonts w:ascii="黑体" w:hAnsi="黑体" w:eastAsia="黑体"/>
          <w:b w:val="0"/>
          <w:sz w:val="24"/>
          <w:szCs w:val="24"/>
          <w:lang w:val="zh-CN"/>
        </w:rPr>
        <w:t>2</w:t>
      </w:r>
      <w:r>
        <w:rPr>
          <w:rFonts w:hint="eastAsia" w:ascii="黑体" w:hAnsi="黑体" w:eastAsia="黑体"/>
          <w:b w:val="0"/>
          <w:sz w:val="24"/>
          <w:szCs w:val="24"/>
          <w:lang w:val="zh-CN"/>
        </w:rPr>
        <w:t>适合领域</w:t>
      </w:r>
      <w:bookmarkEnd w:id="26"/>
    </w:p>
    <w:p>
      <w:pPr>
        <w:ind w:firstLine="480"/>
        <w:rPr>
          <w:sz w:val="24"/>
        </w:rPr>
      </w:pPr>
      <w:r>
        <w:rPr>
          <w:rFonts w:hint="eastAsia"/>
          <w:sz w:val="24"/>
        </w:rPr>
        <w:t>（1）</w:t>
      </w:r>
      <w:r>
        <w:rPr>
          <w:sz w:val="24"/>
        </w:rPr>
        <w:t>适合于</w:t>
      </w:r>
      <w:r>
        <w:rPr>
          <w:rFonts w:hint="eastAsia"/>
          <w:sz w:val="24"/>
        </w:rPr>
        <w:t>地下管线探测</w:t>
      </w:r>
      <w:r>
        <w:rPr>
          <w:sz w:val="24"/>
        </w:rPr>
        <w:t>领域</w:t>
      </w:r>
      <w:r>
        <w:rPr>
          <w:rFonts w:hint="eastAsia"/>
          <w:sz w:val="24"/>
        </w:rPr>
        <w:t>使用</w:t>
      </w:r>
      <w:r>
        <w:rPr>
          <w:sz w:val="24"/>
        </w:rPr>
        <w:t>。</w:t>
      </w:r>
    </w:p>
    <w:p>
      <w:pPr>
        <w:ind w:firstLine="480"/>
        <w:rPr>
          <w:sz w:val="24"/>
        </w:rPr>
      </w:pPr>
      <w:r>
        <w:rPr>
          <w:rFonts w:hint="eastAsia"/>
          <w:sz w:val="24"/>
        </w:rPr>
        <w:t>（2）</w:t>
      </w:r>
      <w:r>
        <w:rPr>
          <w:sz w:val="24"/>
        </w:rPr>
        <w:t>服务相关领域，</w:t>
      </w:r>
      <w:r>
        <w:rPr>
          <w:rFonts w:hint="eastAsia"/>
          <w:sz w:val="24"/>
        </w:rPr>
        <w:t>包括管线行业管理、规划设计、工程建设、地下管线信息化管理</w:t>
      </w:r>
      <w:r>
        <w:rPr>
          <w:sz w:val="24"/>
        </w:rPr>
        <w:t>。</w:t>
      </w:r>
    </w:p>
    <w:p>
      <w:pPr>
        <w:ind w:firstLine="480"/>
        <w:rPr>
          <w:rFonts w:eastAsia="仿宋"/>
          <w:spacing w:val="20"/>
          <w:sz w:val="28"/>
          <w:szCs w:val="28"/>
          <w:lang w:val="zh-CN"/>
        </w:rPr>
      </w:pPr>
      <w:r>
        <w:rPr>
          <w:rFonts w:hint="eastAsia"/>
          <w:sz w:val="24"/>
        </w:rPr>
        <w:t>（3）</w:t>
      </w:r>
      <w:r>
        <w:rPr>
          <w:sz w:val="24"/>
        </w:rPr>
        <w:t>服务</w:t>
      </w:r>
      <w:r>
        <w:rPr>
          <w:rFonts w:hint="eastAsia"/>
          <w:sz w:val="24"/>
        </w:rPr>
        <w:t>地方</w:t>
      </w:r>
      <w:r>
        <w:rPr>
          <w:sz w:val="24"/>
        </w:rPr>
        <w:t>政府</w:t>
      </w:r>
      <w:r>
        <w:rPr>
          <w:rFonts w:hint="eastAsia"/>
          <w:sz w:val="24"/>
        </w:rPr>
        <w:t>，促进政务</w:t>
      </w:r>
      <w:r>
        <w:rPr>
          <w:sz w:val="24"/>
        </w:rPr>
        <w:t>大数据</w:t>
      </w:r>
      <w:r>
        <w:rPr>
          <w:rFonts w:hint="eastAsia"/>
          <w:sz w:val="24"/>
        </w:rPr>
        <w:t>的</w:t>
      </w:r>
      <w:r>
        <w:rPr>
          <w:sz w:val="24"/>
        </w:rPr>
        <w:t>融合，基于本标准开展</w:t>
      </w:r>
      <w:r>
        <w:rPr>
          <w:rFonts w:hint="eastAsia"/>
          <w:sz w:val="24"/>
        </w:rPr>
        <w:t>地理</w:t>
      </w:r>
      <w:r>
        <w:rPr>
          <w:sz w:val="24"/>
        </w:rPr>
        <w:t>空间库的政务数据建设</w:t>
      </w:r>
      <w:r>
        <w:rPr>
          <w:rFonts w:hint="eastAsia"/>
          <w:sz w:val="24"/>
        </w:rPr>
        <w:t>，</w:t>
      </w:r>
      <w:r>
        <w:rPr>
          <w:sz w:val="24"/>
        </w:rPr>
        <w:t>服务</w:t>
      </w:r>
      <w:r>
        <w:rPr>
          <w:rFonts w:hint="eastAsia"/>
          <w:sz w:val="24"/>
        </w:rPr>
        <w:t>于社会治理</w:t>
      </w:r>
      <w:r>
        <w:rPr>
          <w:sz w:val="24"/>
        </w:rPr>
        <w:t>、</w:t>
      </w:r>
      <w:r>
        <w:rPr>
          <w:rFonts w:hint="eastAsia"/>
          <w:sz w:val="24"/>
        </w:rPr>
        <w:t>智慧</w:t>
      </w:r>
      <w:r>
        <w:rPr>
          <w:sz w:val="24"/>
        </w:rPr>
        <w:t>城市</w:t>
      </w:r>
      <w:r>
        <w:rPr>
          <w:rFonts w:hint="eastAsia"/>
          <w:sz w:val="24"/>
        </w:rPr>
        <w:t>建设</w:t>
      </w:r>
      <w:r>
        <w:rPr>
          <w:sz w:val="24"/>
        </w:rPr>
        <w:t>等。</w:t>
      </w:r>
    </w:p>
    <w:p>
      <w:pPr>
        <w:pStyle w:val="4"/>
        <w:spacing w:before="120" w:after="120" w:line="360" w:lineRule="auto"/>
        <w:ind w:firstLine="0" w:firstLineChars="0"/>
        <w:rPr>
          <w:rFonts w:ascii="黑体" w:hAnsi="黑体" w:eastAsia="黑体"/>
          <w:b w:val="0"/>
          <w:sz w:val="24"/>
          <w:szCs w:val="24"/>
          <w:lang w:val="zh-CN"/>
        </w:rPr>
      </w:pPr>
      <w:bookmarkStart w:id="27" w:name="_Toc133586012"/>
      <w:r>
        <w:rPr>
          <w:rFonts w:hint="eastAsia" w:ascii="黑体" w:hAnsi="黑体" w:eastAsia="黑体"/>
          <w:b w:val="0"/>
          <w:sz w:val="24"/>
          <w:szCs w:val="24"/>
          <w:lang w:val="zh-CN"/>
        </w:rPr>
        <w:t>6.</w:t>
      </w:r>
      <w:r>
        <w:rPr>
          <w:rFonts w:ascii="黑体" w:hAnsi="黑体" w:eastAsia="黑体"/>
          <w:b w:val="0"/>
          <w:sz w:val="24"/>
          <w:szCs w:val="24"/>
          <w:lang w:val="zh-CN"/>
        </w:rPr>
        <w:t>3</w:t>
      </w:r>
      <w:r>
        <w:rPr>
          <w:rFonts w:hint="eastAsia" w:ascii="黑体" w:hAnsi="黑体" w:eastAsia="黑体"/>
          <w:b w:val="0"/>
          <w:sz w:val="24"/>
          <w:szCs w:val="24"/>
          <w:lang w:val="zh-CN"/>
        </w:rPr>
        <w:t>推广</w:t>
      </w:r>
      <w:r>
        <w:rPr>
          <w:rFonts w:ascii="黑体" w:hAnsi="黑体" w:eastAsia="黑体"/>
          <w:b w:val="0"/>
          <w:sz w:val="24"/>
          <w:szCs w:val="24"/>
          <w:lang w:val="zh-CN"/>
        </w:rPr>
        <w:t>注意事项</w:t>
      </w:r>
      <w:bookmarkEnd w:id="27"/>
    </w:p>
    <w:p>
      <w:pPr>
        <w:ind w:firstLine="480"/>
        <w:rPr>
          <w:sz w:val="24"/>
        </w:rPr>
      </w:pPr>
      <w:r>
        <w:rPr>
          <w:rFonts w:hint="eastAsia"/>
          <w:sz w:val="24"/>
        </w:rPr>
        <w:t>本标准</w:t>
      </w:r>
      <w:r>
        <w:rPr>
          <w:sz w:val="24"/>
        </w:rPr>
        <w:t>为推荐性标准</w:t>
      </w:r>
      <w:r>
        <w:rPr>
          <w:rFonts w:hint="eastAsia"/>
          <w:sz w:val="24"/>
        </w:rPr>
        <w:t>，实际</w:t>
      </w:r>
      <w:r>
        <w:rPr>
          <w:sz w:val="24"/>
        </w:rPr>
        <w:t>采用时</w:t>
      </w:r>
      <w:r>
        <w:rPr>
          <w:rFonts w:hint="eastAsia"/>
          <w:sz w:val="24"/>
        </w:rPr>
        <w:t>可</w:t>
      </w:r>
      <w:r>
        <w:rPr>
          <w:sz w:val="24"/>
        </w:rPr>
        <w:t>根据</w:t>
      </w:r>
      <w:r>
        <w:rPr>
          <w:rFonts w:hint="eastAsia"/>
          <w:sz w:val="24"/>
        </w:rPr>
        <w:t>情况</w:t>
      </w:r>
      <w:r>
        <w:rPr>
          <w:sz w:val="24"/>
        </w:rPr>
        <w:t>进行扩展</w:t>
      </w:r>
      <w:r>
        <w:rPr>
          <w:rFonts w:hint="eastAsia"/>
          <w:sz w:val="24"/>
        </w:rPr>
        <w:t>或</w:t>
      </w:r>
      <w:r>
        <w:rPr>
          <w:sz w:val="24"/>
        </w:rPr>
        <w:t>适当调整</w:t>
      </w:r>
      <w:r>
        <w:rPr>
          <w:rFonts w:hint="eastAsia"/>
          <w:sz w:val="24"/>
        </w:rPr>
        <w:t>。</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233464"/>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34"/>
      <w:lvlText w:val="%1)"/>
      <w:lvlJc w:val="left"/>
      <w:pPr>
        <w:tabs>
          <w:tab w:val="left" w:pos="851"/>
        </w:tabs>
        <w:ind w:left="851" w:hanging="426"/>
      </w:pPr>
      <w:rPr>
        <w:rFonts w:hint="eastAsia" w:ascii="宋体" w:hAnsi="Times New Roman" w:eastAsia="宋体"/>
        <w:sz w:val="21"/>
      </w:rPr>
    </w:lvl>
    <w:lvl w:ilvl="1" w:tentative="0">
      <w:start w:val="1"/>
      <w:numFmt w:val="decimal"/>
      <w:pStyle w:val="32"/>
      <w:lvlText w:val="%2)"/>
      <w:lvlJc w:val="left"/>
      <w:pPr>
        <w:tabs>
          <w:tab w:val="left" w:pos="1276"/>
        </w:tabs>
        <w:ind w:left="1276" w:hanging="425"/>
      </w:pPr>
      <w:rPr>
        <w:rFonts w:hint="eastAsia" w:ascii="宋体" w:hAnsi="Times New Roman" w:eastAsia="宋体"/>
        <w:sz w:val="21"/>
      </w:rPr>
    </w:lvl>
    <w:lvl w:ilvl="2" w:tentative="0">
      <w:start w:val="1"/>
      <w:numFmt w:val="decimal"/>
      <w:pStyle w:val="3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zA4ZDY0NWQ1NjE4YTA0OWMwYzdjZDE1YzljMzMifQ=="/>
  </w:docVars>
  <w:rsids>
    <w:rsidRoot w:val="00EE430C"/>
    <w:rsid w:val="000017CB"/>
    <w:rsid w:val="000030BD"/>
    <w:rsid w:val="00007B83"/>
    <w:rsid w:val="00064DF7"/>
    <w:rsid w:val="00067DAF"/>
    <w:rsid w:val="00080369"/>
    <w:rsid w:val="000A2C25"/>
    <w:rsid w:val="000C1886"/>
    <w:rsid w:val="000D31E8"/>
    <w:rsid w:val="000E5064"/>
    <w:rsid w:val="00104879"/>
    <w:rsid w:val="00124F99"/>
    <w:rsid w:val="00171AC1"/>
    <w:rsid w:val="00173500"/>
    <w:rsid w:val="00176D95"/>
    <w:rsid w:val="00192C66"/>
    <w:rsid w:val="001B5FD5"/>
    <w:rsid w:val="00226B80"/>
    <w:rsid w:val="00281838"/>
    <w:rsid w:val="00283901"/>
    <w:rsid w:val="002A1812"/>
    <w:rsid w:val="002B0923"/>
    <w:rsid w:val="00373A03"/>
    <w:rsid w:val="003D67FB"/>
    <w:rsid w:val="003E6970"/>
    <w:rsid w:val="003F53A2"/>
    <w:rsid w:val="003F7BB4"/>
    <w:rsid w:val="00410DFA"/>
    <w:rsid w:val="004167E5"/>
    <w:rsid w:val="004311C6"/>
    <w:rsid w:val="004403F8"/>
    <w:rsid w:val="004412B5"/>
    <w:rsid w:val="004465D1"/>
    <w:rsid w:val="00494718"/>
    <w:rsid w:val="0049720C"/>
    <w:rsid w:val="004A5AF7"/>
    <w:rsid w:val="004A767B"/>
    <w:rsid w:val="004B38B2"/>
    <w:rsid w:val="004C0F88"/>
    <w:rsid w:val="004E0118"/>
    <w:rsid w:val="0051216D"/>
    <w:rsid w:val="0055545A"/>
    <w:rsid w:val="005677CD"/>
    <w:rsid w:val="00591206"/>
    <w:rsid w:val="00593184"/>
    <w:rsid w:val="005956DD"/>
    <w:rsid w:val="005A3FD1"/>
    <w:rsid w:val="005D35F4"/>
    <w:rsid w:val="005F57E4"/>
    <w:rsid w:val="005F5C41"/>
    <w:rsid w:val="006001BF"/>
    <w:rsid w:val="00617178"/>
    <w:rsid w:val="00624B17"/>
    <w:rsid w:val="00666998"/>
    <w:rsid w:val="0067762F"/>
    <w:rsid w:val="006961C0"/>
    <w:rsid w:val="006D096C"/>
    <w:rsid w:val="006D5242"/>
    <w:rsid w:val="006E4360"/>
    <w:rsid w:val="00737C4E"/>
    <w:rsid w:val="007458E6"/>
    <w:rsid w:val="00760BD9"/>
    <w:rsid w:val="00763845"/>
    <w:rsid w:val="00773A8D"/>
    <w:rsid w:val="007774B9"/>
    <w:rsid w:val="007E23AC"/>
    <w:rsid w:val="00802B4A"/>
    <w:rsid w:val="00806954"/>
    <w:rsid w:val="008104D5"/>
    <w:rsid w:val="00815DC4"/>
    <w:rsid w:val="0082644C"/>
    <w:rsid w:val="00843521"/>
    <w:rsid w:val="00845373"/>
    <w:rsid w:val="00861368"/>
    <w:rsid w:val="00863A13"/>
    <w:rsid w:val="0086568C"/>
    <w:rsid w:val="00865732"/>
    <w:rsid w:val="008B6978"/>
    <w:rsid w:val="008E4AD5"/>
    <w:rsid w:val="008F2817"/>
    <w:rsid w:val="00901875"/>
    <w:rsid w:val="00937024"/>
    <w:rsid w:val="00943FFC"/>
    <w:rsid w:val="00950FA1"/>
    <w:rsid w:val="009609A0"/>
    <w:rsid w:val="00965ABC"/>
    <w:rsid w:val="00971E9F"/>
    <w:rsid w:val="009A747D"/>
    <w:rsid w:val="009C43E5"/>
    <w:rsid w:val="009D25C2"/>
    <w:rsid w:val="009E3D3E"/>
    <w:rsid w:val="009E62F9"/>
    <w:rsid w:val="009F28CA"/>
    <w:rsid w:val="009F386C"/>
    <w:rsid w:val="00A102D0"/>
    <w:rsid w:val="00A55D28"/>
    <w:rsid w:val="00A97208"/>
    <w:rsid w:val="00AB0841"/>
    <w:rsid w:val="00B06B9B"/>
    <w:rsid w:val="00B36D65"/>
    <w:rsid w:val="00B44870"/>
    <w:rsid w:val="00B67D2C"/>
    <w:rsid w:val="00B755C6"/>
    <w:rsid w:val="00B81C2D"/>
    <w:rsid w:val="00B82F61"/>
    <w:rsid w:val="00B91D99"/>
    <w:rsid w:val="00BC4678"/>
    <w:rsid w:val="00BE3C6A"/>
    <w:rsid w:val="00BF7124"/>
    <w:rsid w:val="00C25272"/>
    <w:rsid w:val="00C32DBC"/>
    <w:rsid w:val="00C40E37"/>
    <w:rsid w:val="00C416E3"/>
    <w:rsid w:val="00C748C4"/>
    <w:rsid w:val="00C97D30"/>
    <w:rsid w:val="00CA07D9"/>
    <w:rsid w:val="00CF0113"/>
    <w:rsid w:val="00D00967"/>
    <w:rsid w:val="00D0549E"/>
    <w:rsid w:val="00D05A38"/>
    <w:rsid w:val="00D12F4E"/>
    <w:rsid w:val="00D20940"/>
    <w:rsid w:val="00D56065"/>
    <w:rsid w:val="00D96FDA"/>
    <w:rsid w:val="00DA0CF1"/>
    <w:rsid w:val="00DB24E5"/>
    <w:rsid w:val="00DB2E42"/>
    <w:rsid w:val="00DE37D1"/>
    <w:rsid w:val="00DE605F"/>
    <w:rsid w:val="00E01B48"/>
    <w:rsid w:val="00E23050"/>
    <w:rsid w:val="00E54026"/>
    <w:rsid w:val="00E96318"/>
    <w:rsid w:val="00EA0134"/>
    <w:rsid w:val="00EA7ABA"/>
    <w:rsid w:val="00EE430C"/>
    <w:rsid w:val="00EF73FD"/>
    <w:rsid w:val="00F1497A"/>
    <w:rsid w:val="00F16DBF"/>
    <w:rsid w:val="00F23BEA"/>
    <w:rsid w:val="00F70FBD"/>
    <w:rsid w:val="00F833BE"/>
    <w:rsid w:val="00FE5C0C"/>
    <w:rsid w:val="13CC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ind w:firstLine="0" w:firstLineChars="0"/>
      <w:outlineLvl w:val="0"/>
    </w:pPr>
    <w:rPr>
      <w:rFonts w:asciiTheme="minorHAnsi" w:hAnsiTheme="minorHAnsi" w:eastAsiaTheme="minorEastAsia" w:cstheme="minorBidi"/>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Body Text"/>
    <w:basedOn w:val="1"/>
    <w:link w:val="28"/>
    <w:qFormat/>
    <w:uiPriority w:val="0"/>
    <w:pPr>
      <w:spacing w:after="120" w:line="240" w:lineRule="auto"/>
      <w:ind w:firstLine="0" w:firstLineChars="0"/>
    </w:pPr>
  </w:style>
  <w:style w:type="paragraph" w:styleId="7">
    <w:name w:val="toc 3"/>
    <w:basedOn w:val="1"/>
    <w:next w:val="1"/>
    <w:unhideWhenUsed/>
    <w:qFormat/>
    <w:uiPriority w:val="39"/>
    <w:pPr>
      <w:spacing w:line="240" w:lineRule="auto"/>
      <w:ind w:left="210" w:firstLine="0" w:firstLineChars="0"/>
      <w:jc w:val="left"/>
    </w:pPr>
    <w:rPr>
      <w:rFonts w:asciiTheme="minorHAnsi" w:hAnsiTheme="minorHAnsi" w:eastAsiaTheme="minorEastAsia" w:cstheme="minorHAnsi"/>
      <w:sz w:val="20"/>
      <w:szCs w:val="20"/>
    </w:rPr>
  </w:style>
  <w:style w:type="paragraph" w:styleId="8">
    <w:name w:val="Plain Text"/>
    <w:basedOn w:val="1"/>
    <w:link w:val="26"/>
    <w:uiPriority w:val="0"/>
    <w:pPr>
      <w:spacing w:line="240" w:lineRule="auto"/>
      <w:ind w:firstLine="0" w:firstLineChars="0"/>
    </w:pPr>
    <w:rPr>
      <w:rFonts w:ascii="宋体" w:hAnsi="Courier New" w:cstheme="minorBidi"/>
      <w:szCs w:val="22"/>
    </w:rPr>
  </w:style>
  <w:style w:type="paragraph" w:styleId="9">
    <w:name w:val="Balloon Text"/>
    <w:basedOn w:val="1"/>
    <w:link w:val="29"/>
    <w:semiHidden/>
    <w:unhideWhenUsed/>
    <w:uiPriority w:val="99"/>
    <w:pPr>
      <w:spacing w:line="240" w:lineRule="auto"/>
    </w:pPr>
    <w:rPr>
      <w:sz w:val="18"/>
      <w:szCs w:val="18"/>
    </w:rPr>
  </w:style>
  <w:style w:type="paragraph" w:styleId="10">
    <w:name w:val="footer"/>
    <w:basedOn w:val="1"/>
    <w:link w:val="25"/>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296"/>
      </w:tabs>
      <w:spacing w:line="400" w:lineRule="exact"/>
      <w:ind w:firstLine="0" w:firstLineChars="0"/>
      <w:jc w:val="left"/>
    </w:pPr>
    <w:rPr>
      <w:rFonts w:ascii="宋体" w:hAnsi="宋体"/>
      <w:b/>
      <w:bCs/>
      <w:caps/>
      <w:sz w:val="24"/>
    </w:rPr>
  </w:style>
  <w:style w:type="paragraph" w:styleId="13">
    <w:name w:val="toc 2"/>
    <w:basedOn w:val="1"/>
    <w:next w:val="1"/>
    <w:unhideWhenUsed/>
    <w:qFormat/>
    <w:uiPriority w:val="39"/>
    <w:pPr>
      <w:spacing w:before="240" w:line="240" w:lineRule="auto"/>
      <w:ind w:firstLine="0" w:firstLineChars="0"/>
      <w:jc w:val="left"/>
    </w:pPr>
    <w:rPr>
      <w:rFonts w:asciiTheme="minorHAnsi" w:hAnsiTheme="minorHAnsi" w:eastAsiaTheme="minorEastAsia" w:cstheme="minorHAnsi"/>
      <w:b/>
      <w:bCs/>
      <w:sz w:val="20"/>
      <w:szCs w:val="20"/>
    </w:rPr>
  </w:style>
  <w:style w:type="paragraph" w:styleId="14">
    <w:name w:val="index 1"/>
    <w:basedOn w:val="1"/>
    <w:next w:val="1"/>
    <w:unhideWhenUsed/>
    <w:uiPriority w:val="99"/>
    <w:pPr>
      <w:spacing w:line="240" w:lineRule="auto"/>
      <w:ind w:firstLine="0" w:firstLineChars="0"/>
    </w:p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uiPriority w:val="99"/>
    <w:rPr>
      <w:color w:val="0563C1" w:themeColor="hyperlink"/>
      <w:u w:val="single"/>
      <w14:textFill>
        <w14:solidFill>
          <w14:schemeClr w14:val="hlink"/>
        </w14:solidFill>
      </w14:textFill>
    </w:rPr>
  </w:style>
  <w:style w:type="paragraph" w:customStyle="1" w:styleId="19">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20">
    <w:name w:val="List Paragraph"/>
    <w:basedOn w:val="1"/>
    <w:qFormat/>
    <w:uiPriority w:val="34"/>
    <w:pPr>
      <w:ind w:firstLine="420"/>
    </w:pPr>
  </w:style>
  <w:style w:type="character" w:customStyle="1" w:styleId="21">
    <w:name w:val="标题 2 Char"/>
    <w:basedOn w:val="17"/>
    <w:link w:val="3"/>
    <w:qFormat/>
    <w:uiPriority w:val="0"/>
    <w:rPr>
      <w:rFonts w:asciiTheme="majorHAnsi" w:hAnsiTheme="majorHAnsi" w:eastAsiaTheme="majorEastAsia" w:cstheme="majorBidi"/>
      <w:b/>
      <w:bCs/>
      <w:sz w:val="32"/>
      <w:szCs w:val="32"/>
    </w:rPr>
  </w:style>
  <w:style w:type="character" w:customStyle="1" w:styleId="22">
    <w:name w:val="标题 3 Char"/>
    <w:basedOn w:val="17"/>
    <w:link w:val="4"/>
    <w:uiPriority w:val="0"/>
    <w:rPr>
      <w:rFonts w:ascii="Times New Roman" w:hAnsi="Times New Roman" w:eastAsia="宋体" w:cs="Times New Roman"/>
      <w:b/>
      <w:bCs/>
      <w:sz w:val="32"/>
      <w:szCs w:val="32"/>
    </w:rPr>
  </w:style>
  <w:style w:type="character" w:customStyle="1" w:styleId="23">
    <w:name w:val="标题 1 Char"/>
    <w:basedOn w:val="17"/>
    <w:link w:val="2"/>
    <w:qFormat/>
    <w:uiPriority w:val="0"/>
    <w:rPr>
      <w:b/>
      <w:bCs/>
      <w:kern w:val="44"/>
      <w:sz w:val="44"/>
      <w:szCs w:val="44"/>
    </w:rPr>
  </w:style>
  <w:style w:type="character" w:customStyle="1" w:styleId="24">
    <w:name w:val="页眉 Char"/>
    <w:basedOn w:val="17"/>
    <w:link w:val="11"/>
    <w:qFormat/>
    <w:uiPriority w:val="99"/>
    <w:rPr>
      <w:rFonts w:ascii="Times New Roman" w:hAnsi="Times New Roman" w:eastAsia="宋体" w:cs="Times New Roman"/>
      <w:sz w:val="18"/>
      <w:szCs w:val="18"/>
    </w:rPr>
  </w:style>
  <w:style w:type="character" w:customStyle="1" w:styleId="25">
    <w:name w:val="页脚 Char"/>
    <w:basedOn w:val="17"/>
    <w:link w:val="10"/>
    <w:qFormat/>
    <w:uiPriority w:val="99"/>
    <w:rPr>
      <w:rFonts w:ascii="Times New Roman" w:hAnsi="Times New Roman" w:eastAsia="宋体" w:cs="Times New Roman"/>
      <w:sz w:val="18"/>
      <w:szCs w:val="18"/>
    </w:rPr>
  </w:style>
  <w:style w:type="character" w:customStyle="1" w:styleId="26">
    <w:name w:val="纯文本 Char"/>
    <w:link w:val="8"/>
    <w:qFormat/>
    <w:uiPriority w:val="0"/>
    <w:rPr>
      <w:rFonts w:ascii="宋体" w:hAnsi="Courier New" w:eastAsia="宋体"/>
    </w:rPr>
  </w:style>
  <w:style w:type="character" w:customStyle="1" w:styleId="27">
    <w:name w:val="纯文本 字符1"/>
    <w:basedOn w:val="17"/>
    <w:semiHidden/>
    <w:uiPriority w:val="99"/>
    <w:rPr>
      <w:rFonts w:hAnsi="Courier New" w:cs="Courier New" w:asciiTheme="minorEastAsia"/>
      <w:szCs w:val="24"/>
    </w:rPr>
  </w:style>
  <w:style w:type="character" w:customStyle="1" w:styleId="28">
    <w:name w:val="正文文本 Char"/>
    <w:basedOn w:val="17"/>
    <w:link w:val="6"/>
    <w:qFormat/>
    <w:uiPriority w:val="0"/>
    <w:rPr>
      <w:rFonts w:ascii="Times New Roman" w:hAnsi="Times New Roman" w:eastAsia="宋体" w:cs="Times New Roman"/>
      <w:szCs w:val="24"/>
    </w:rPr>
  </w:style>
  <w:style w:type="character" w:customStyle="1" w:styleId="29">
    <w:name w:val="批注框文本 Char"/>
    <w:basedOn w:val="17"/>
    <w:link w:val="9"/>
    <w:semiHidden/>
    <w:uiPriority w:val="99"/>
    <w:rPr>
      <w:rFonts w:ascii="Times New Roman" w:hAnsi="Times New Roman" w:eastAsia="宋体" w:cs="Times New Roman"/>
      <w:sz w:val="18"/>
      <w:szCs w:val="18"/>
    </w:rPr>
  </w:style>
  <w:style w:type="character" w:customStyle="1" w:styleId="30">
    <w:name w:val="标题 4 Char"/>
    <w:basedOn w:val="17"/>
    <w:link w:val="5"/>
    <w:uiPriority w:val="9"/>
    <w:rPr>
      <w:rFonts w:asciiTheme="majorHAnsi" w:hAnsiTheme="majorHAnsi" w:eastAsiaTheme="majorEastAsia" w:cstheme="majorBidi"/>
      <w:b/>
      <w:bCs/>
      <w:sz w:val="28"/>
      <w:szCs w:val="28"/>
    </w:rPr>
  </w:style>
  <w:style w:type="paragraph" w:customStyle="1" w:styleId="31">
    <w:name w:val="_Style 2"/>
    <w:basedOn w:val="1"/>
    <w:uiPriority w:val="0"/>
    <w:pPr>
      <w:widowControl/>
      <w:spacing w:after="160" w:line="240" w:lineRule="exact"/>
      <w:ind w:firstLine="0" w:firstLineChars="0"/>
      <w:jc w:val="left"/>
    </w:pPr>
  </w:style>
  <w:style w:type="paragraph" w:customStyle="1" w:styleId="32">
    <w:name w:val="标准文件_数字编号列项（二级）"/>
    <w:qFormat/>
    <w:uiPriority w:val="0"/>
    <w:pPr>
      <w:numPr>
        <w:ilvl w:val="1"/>
        <w:numId w:val="1"/>
      </w:numPr>
      <w:jc w:val="both"/>
    </w:pPr>
    <w:rPr>
      <w:rFonts w:ascii="宋体" w:hAnsi="Times New Roman" w:eastAsia="宋体" w:cs="Times New Roman"/>
      <w:kern w:val="0"/>
      <w:sz w:val="21"/>
      <w:szCs w:val="20"/>
      <w:lang w:val="en-US" w:eastAsia="zh-CN" w:bidi="ar-SA"/>
    </w:rPr>
  </w:style>
  <w:style w:type="paragraph" w:customStyle="1" w:styleId="33">
    <w:name w:val="标准文件_编号列项（三级）"/>
    <w:uiPriority w:val="0"/>
    <w:pPr>
      <w:numPr>
        <w:ilvl w:val="2"/>
        <w:numId w:val="1"/>
      </w:numPr>
    </w:pPr>
    <w:rPr>
      <w:rFonts w:ascii="宋体" w:hAnsi="Times New Roman" w:eastAsia="宋体" w:cs="Times New Roman"/>
      <w:kern w:val="0"/>
      <w:sz w:val="21"/>
      <w:szCs w:val="20"/>
      <w:lang w:val="en-US" w:eastAsia="zh-CN" w:bidi="ar-SA"/>
    </w:rPr>
  </w:style>
  <w:style w:type="paragraph" w:customStyle="1" w:styleId="34">
    <w:name w:val="标准文件_字母编号列项（一级）"/>
    <w:qFormat/>
    <w:uiPriority w:val="0"/>
    <w:pPr>
      <w:numPr>
        <w:ilvl w:val="0"/>
        <w:numId w:val="1"/>
      </w:numPr>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CAA00-1018-425C-8BD0-E1780B6CDA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1408</Words>
  <Characters>8031</Characters>
  <Lines>66</Lines>
  <Paragraphs>18</Paragraphs>
  <TotalTime>45</TotalTime>
  <ScaleCrop>false</ScaleCrop>
  <LinksUpToDate>false</LinksUpToDate>
  <CharactersWithSpaces>9421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2023-10-18T07:17:00Z</dcterms:created>
  <dc:creator>admin</dc:creator>
  <cp:lastModifiedBy>朱智荣</cp:lastModifiedBy>
  <cp:lastPrinted>2020-09-25T06:14:00Z</cp:lastPrinted>
  <dcterms:modified xsi:type="dcterms:W3CDTF">2023-11-23T09:55:32Z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AAAA5F26489C491CA0777F3712408478_12</vt:lpwstr>
  </property>
</Properties>
</file>