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南通市地方标准《科技成果分类评价技术规范》</w:t>
      </w:r>
    </w:p>
    <w:p>
      <w:pPr>
        <w:keepNext w:val="0"/>
        <w:keepLines w:val="0"/>
        <w:pageBreakBefore w:val="0"/>
        <w:kinsoku/>
        <w:wordWrap/>
        <w:overflowPunct/>
        <w:topLinePunct w:val="0"/>
        <w:autoSpaceDE/>
        <w:autoSpaceDN/>
        <w:bidi w:val="0"/>
        <w:adjustRightInd/>
        <w:snapToGrid/>
        <w:spacing w:line="600" w:lineRule="exact"/>
        <w:ind w:firstLine="405"/>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编制说明</w:t>
      </w:r>
    </w:p>
    <w:p>
      <w:pPr>
        <w:pStyle w:val="8"/>
        <w:keepNext w:val="0"/>
        <w:keepLines w:val="0"/>
        <w:pageBreakBefore w:val="0"/>
        <w:kinsoku/>
        <w:wordWrap/>
        <w:overflowPunct/>
        <w:topLinePunct w:val="0"/>
        <w:autoSpaceDE/>
        <w:autoSpaceDN/>
        <w:bidi w:val="0"/>
        <w:adjustRightInd/>
        <w:spacing w:beforeLines="0" w:afterLines="0" w:line="480" w:lineRule="exact"/>
        <w:ind w:firstLine="640" w:firstLineChars="200"/>
        <w:rPr>
          <w:rFonts w:hAnsi="黑体"/>
          <w:sz w:val="32"/>
          <w:szCs w:val="32"/>
        </w:rPr>
      </w:pPr>
      <w:r>
        <w:rPr>
          <w:rFonts w:hint="eastAsia" w:hAnsi="黑体"/>
          <w:sz w:val="32"/>
          <w:szCs w:val="32"/>
        </w:rPr>
        <w:t>一、</w:t>
      </w:r>
      <w:r>
        <w:rPr>
          <w:rFonts w:hAnsi="黑体"/>
          <w:sz w:val="32"/>
          <w:szCs w:val="32"/>
        </w:rPr>
        <w:t>目的与意义</w:t>
      </w:r>
      <w:bookmarkStart w:id="0" w:name="_GoBack"/>
      <w:bookmarkEnd w:id="0"/>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科技成果评价工作的管理，正确判别不同类型科技成果的质量和水平，对促进科技成果的完善和科技水平的提高，加速科技成果推广应用具有重要的现实意义。通过科技成果评价的研发主体可以申报各级各类成果奖项，并以此作为研发基础和研发能力的佐证材料申报各级财政资助的科技计划项目，从而可以获得政府扶持；通过评价会专家的点拨，研发主体能更好地把握技术关键，避免走偏研发方向；对于拥有高水平研发团队的主体来说，评价更多的时候是一块敲门砖，具有宣传的功能。</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技成果评价同时也是科技成果转移转化的重要环节。评价活动依托科技成果评价主体专属的专家库、成果库、企业需求库，融入评价以打通企企、校（院）企的产学研合作通道。通过邀请专家，对被评价成果的科学性、创造性、先进性、可行性、潜在风险和应用前景等进行评价，并做出相应结论。同时根据科技成果应用单位需求配套技术路线图分析、行业情报分析等增值服务，帮助研发主体进行科技成果转化落地并获得政策支持。科技成果评价活动的标准化，具有保障活动公正、公平的作用，可以发挥宣传科技成果，助推产学研合作，促进成果及时转移转化的作用。</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ascii="黑体" w:hAnsi="黑体" w:eastAsia="黑体"/>
          <w:sz w:val="28"/>
          <w:szCs w:val="28"/>
        </w:rPr>
      </w:pPr>
      <w:r>
        <w:rPr>
          <w:rFonts w:hint="eastAsia" w:ascii="黑体" w:hAnsi="黑体" w:eastAsia="黑体"/>
          <w:sz w:val="28"/>
          <w:szCs w:val="28"/>
        </w:rPr>
        <w:t>（一）行业</w:t>
      </w:r>
      <w:r>
        <w:rPr>
          <w:rFonts w:ascii="黑体" w:hAnsi="黑体" w:eastAsia="黑体"/>
          <w:sz w:val="28"/>
          <w:szCs w:val="28"/>
        </w:rPr>
        <w:t>发展现状</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目前，南通市科技成果评价活动在评价方式、评价内容、专家领域、专家数量、专家咨询费的标准、评价报告的格式各异，缺乏一个规范性的要求，迫切需要制定一个统一的规范，确保评价的客观、真实、可靠、准确和权威性，提升评价报告的价值。同时，有的科技成果评价必须到现场进行勘察查看，确保评价的客观性；也要到应用部门或单位去调研成果实际应用情况，确保推广效益和规模的真实性，从而给出准确的评价结论。</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必要性</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规范科技成果的评价管理，保障科技成果研发主体（高校院所、推广部门、企业等新型经营主体）或投资主体或应用主体的切身利益，推进科技成果标准化管理体系的建立，结合相关研究课题任务，依据《中华人民共和国标准</w:t>
      </w:r>
      <w:r>
        <w:rPr>
          <w:rFonts w:hint="eastAsia" w:ascii="方正仿宋_GBK" w:hAnsi="方正仿宋_GBK" w:eastAsia="方正仿宋_GBK" w:cs="方正仿宋_GBK"/>
          <w:sz w:val="28"/>
          <w:szCs w:val="28"/>
          <w:lang w:val="en-US" w:eastAsia="zh-CN"/>
        </w:rPr>
        <w:t>化</w:t>
      </w:r>
      <w:r>
        <w:rPr>
          <w:rFonts w:hint="eastAsia" w:ascii="方正仿宋_GBK" w:hAnsi="方正仿宋_GBK" w:eastAsia="方正仿宋_GBK" w:cs="方正仿宋_GBK"/>
          <w:sz w:val="28"/>
          <w:szCs w:val="28"/>
        </w:rPr>
        <w:t>法》的有关规定，有必要制定本技术规范，作为开展科技成果分类评价的依据。</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可行性</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研究基础</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起草单位前期已经开展了调研访谈，查阅了大量相关的文献资料，具有翔实的数据资料；已经起草了标准草案，为南通市地方标准的制定奠定了坚实的基础。</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前期研究成果</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经起草了实用性、可操作性较强，适合南通应用的《科技成果分类评价技术规范（草案）》；牵头起草了由社会组织牵头研制的江苏省地方标准，并已由江苏省市场监督管理局于2022年年初发布实施；具有多年开展科技成果评价的实践与经验，出具评价报告的科技成果均得到南通市人民政府的表彰奖励，其中南通市农业技术推广一等奖1项、二等奖2项。</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可操作性</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起草主要牵头申报单位——南通市农村专业技术协会的多项具有自主知识产权成果通过江苏省冷链学会、江苏省农村经济学会组织的科技成果评价，多次受到省、市两级人民政府的表彰奖励，说明具有科技成果研发的能力；多次为高校院所、农业新型经营主体组织科技成果评价活动，成果均得到南通市人民政府的表彰奖励，说明具有组织成果评价的能力；负责牵头起草的《科技成果分类评价技术规范（草案）》层次清晰，既具有科学合理性，又具有可操作性。</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预期经济社会效益分析</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技成果评价活动的标准化，具有保障活动公正、公平的作用，可以发挥宣传科技成果，助推产学研合作，促进成果及时转移转化的作用，经济价值高，社会效益巨大。既可以规范科技成果的评价行为，提升评价的权威性，又可以提升成果水平的可信度，评价过程花费经济合理，比花巨资打广告宣传等可有效节约经费开支。</w:t>
      </w:r>
    </w:p>
    <w:p>
      <w:pPr>
        <w:pStyle w:val="8"/>
        <w:keepNext w:val="0"/>
        <w:keepLines w:val="0"/>
        <w:pageBreakBefore w:val="0"/>
        <w:kinsoku/>
        <w:wordWrap/>
        <w:overflowPunct/>
        <w:topLinePunct w:val="0"/>
        <w:autoSpaceDE/>
        <w:autoSpaceDN/>
        <w:bidi w:val="0"/>
        <w:adjustRightInd/>
        <w:spacing w:beforeLines="0" w:afterLines="0" w:line="520" w:lineRule="exact"/>
        <w:ind w:firstLine="640" w:firstLineChars="200"/>
        <w:rPr>
          <w:rFonts w:hAnsi="黑体"/>
          <w:sz w:val="32"/>
          <w:szCs w:val="32"/>
        </w:rPr>
      </w:pPr>
      <w:r>
        <w:rPr>
          <w:rFonts w:hAnsi="黑体"/>
          <w:sz w:val="32"/>
          <w:szCs w:val="32"/>
        </w:rPr>
        <w:t>二、任务来源</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南通市市场监督管理局2022年度南通市地方标准项目“应用型科技成果评价技术规范”（项目编号：NT2022-35）、南通市科学技术局2022年度创新环境（软科学）研究项目“科技成果评价机制改革研究”（项目编号：AR2022002）。</w:t>
      </w:r>
    </w:p>
    <w:p>
      <w:pPr>
        <w:keepNext w:val="0"/>
        <w:keepLines w:val="0"/>
        <w:pageBreakBefore w:val="0"/>
        <w:kinsoku/>
        <w:wordWrap/>
        <w:overflowPunct/>
        <w:topLinePunct w:val="0"/>
        <w:autoSpaceDE/>
        <w:autoSpaceDN/>
        <w:bidi w:val="0"/>
        <w:adjustRightInd/>
        <w:spacing w:line="520" w:lineRule="exact"/>
        <w:ind w:firstLine="640" w:firstLineChars="200"/>
        <w:rPr>
          <w:rFonts w:eastAsia="黑体"/>
          <w:sz w:val="32"/>
          <w:szCs w:val="32"/>
        </w:rPr>
      </w:pPr>
      <w:r>
        <w:rPr>
          <w:rFonts w:eastAsia="黑体"/>
          <w:sz w:val="32"/>
          <w:szCs w:val="32"/>
        </w:rPr>
        <w:t>三、编制过程</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文件是由南通市农村专业技术协会、江苏沿江地区农业科学所等单位起草，起草过程中贯彻执行和参考了我国相关标准的规定，并成立了以袁春新为组长，唐明霞、程玉静、李进、翟彩娇、仇亮、王小秋、尹升华等具有丰富科技成果管理、成果鉴定（评价）组织经验、理论知识和标准化知识的技术人员为成员的标准起草工作小组。2020年9月至2021年3月，工作小组经过前期研究工作以及实地调研，全面了解了科技成果评价的社会需求和评价原则、评价主体、评价分类、评价内容、评价咨询专家、评价程序、评价报告、评价记录并对这些问题进行系统总结，在查阅大量文献资料的基础上确定了《科技成果分类评价技术规范》的基本内容和基本思路。经过反复研讨，形成了标准的编制原则及纲要。2021年4月至2022年8月，经过标准起草工作小组成员的反复讨论、撰写和修改，于2022年9月初完成了《科技成果分类评价技术规范》的征求意见稿。广泛征求意见和反复修改后，2022年12月初形成了送审稿。</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四、</w:t>
      </w:r>
      <w:r>
        <w:rPr>
          <w:rFonts w:eastAsia="黑体"/>
          <w:sz w:val="32"/>
          <w:szCs w:val="32"/>
        </w:rPr>
        <w:t>主要技术内容确定依据</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编制原则</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规程编制遵循“科学、适度、可行”原则，既考虑标准前瞻性，又兼顾以往的经验做法，通过充分听取各方意见，确保标准可以作为政府部门监督、指导的依据。</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技术依据</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标准按照GB/T 1.1-2020《标准化工作导则 第1部分：标准的结构和编写》的要求编写。</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参照标准</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本标准主要参照GB/T 33450 科技成果转化为标准指南、GB/T 40147科技评估通则、GB/T 40148科技评估基本术语等标准。</w:t>
      </w:r>
    </w:p>
    <w:p>
      <w:pPr>
        <w:pStyle w:val="18"/>
        <w:keepNext w:val="0"/>
        <w:keepLines w:val="0"/>
        <w:pageBreakBefore w:val="0"/>
        <w:numPr>
          <w:ilvl w:val="0"/>
          <w:numId w:val="1"/>
        </w:numPr>
        <w:kinsoku/>
        <w:wordWrap/>
        <w:overflowPunct/>
        <w:topLinePunct w:val="0"/>
        <w:autoSpaceDE/>
        <w:autoSpaceDN/>
        <w:bidi w:val="0"/>
        <w:adjustRightInd/>
        <w:spacing w:line="520" w:lineRule="exact"/>
        <w:ind w:firstLineChars="0"/>
        <w:rPr>
          <w:rFonts w:eastAsia="黑体"/>
          <w:sz w:val="28"/>
          <w:szCs w:val="28"/>
        </w:rPr>
      </w:pPr>
      <w:r>
        <w:rPr>
          <w:rFonts w:hint="eastAsia" w:eastAsia="黑体"/>
          <w:sz w:val="28"/>
          <w:szCs w:val="28"/>
          <w:lang w:val="en-US" w:eastAsia="zh-CN"/>
        </w:rPr>
        <w:t xml:space="preserve">    </w:t>
      </w:r>
      <w:r>
        <w:rPr>
          <w:rFonts w:hint="eastAsia" w:eastAsia="黑体"/>
          <w:sz w:val="32"/>
          <w:szCs w:val="32"/>
        </w:rPr>
        <w:t>五</w:t>
      </w:r>
      <w:r>
        <w:rPr>
          <w:rFonts w:eastAsia="黑体"/>
          <w:sz w:val="32"/>
          <w:szCs w:val="32"/>
        </w:rPr>
        <w:t>、</w:t>
      </w:r>
      <w:r>
        <w:rPr>
          <w:rFonts w:hint="eastAsia" w:eastAsia="黑体"/>
          <w:sz w:val="32"/>
          <w:szCs w:val="32"/>
        </w:rPr>
        <w:t>主要技术内容</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评价主体</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价主体应具有固定办公场所的社团法人、事业法人和企业法人，具有可供遴选的专家库，具有科学、严谨、清晰的内部管理制度与服务规范，具有信息化服务能力。应不得受托和承担涉及国家秘密的成果评价，依法取得有关涉密资质的除外；能自主完成评价工作，对本主体不能承担的评价工作不得受理；能为评价咨询专家提供委托方所提供的完整的评价资料和评价活动必备的条件保障；开展评价工作的程序应当依法依规进行；能保障所聘请专家独立开展评价；在形成评价结论的过程中不能使用、依赖没有充分依据支持的结论和判断；对其依据委托方提供的技术资料所做出的评价结论负责；评价方应当客观公正，依法依规，保证科技成果评价的严肃性和科学性，未经委托方和成果完成者同意，不得擅自披露、使用或转让被评价科技成果的关键技术；维护委托方知识产权及获知的商业秘密。存在下列情况之一时，评价主体可以拒绝接受评价委托：科技成果违反国家法律、法规规定或违背社会公德，对社会公共利益或者环境和资源可能造成危害的；科技成果涉及国家秘密的；科技成果存在知识产权权属争议，且尚未解决的；委托方提供虚假情况或不能提供评价所需材料的。评价方有权要求委托方补充评价材料和合理收取评价费用。 </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2.分类</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科技成果分基础研究类、应用开发类、决策咨询类三大类。</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3.评价指标</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（1）基础研究类</w:t>
      </w:r>
    </w:p>
    <w:p>
      <w:pPr>
        <w:keepNext w:val="0"/>
        <w:keepLines w:val="0"/>
        <w:pageBreakBefore w:val="0"/>
        <w:kinsoku/>
        <w:wordWrap/>
        <w:overflowPunct/>
        <w:topLinePunct w:val="0"/>
        <w:autoSpaceDE/>
        <w:autoSpaceDN/>
        <w:bidi w:val="0"/>
        <w:adjustRightInd/>
        <w:snapToGrid w:val="0"/>
        <w:spacing w:line="520" w:lineRule="exact"/>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 基础研究类科技成果评价指标</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2835"/>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23"/>
              <w:jc w:val="center"/>
              <w:rPr>
                <w:rFonts w:ascii="宋体" w:hAnsi="宋体" w:cs="宋体"/>
                <w:sz w:val="21"/>
                <w:szCs w:val="21"/>
              </w:rPr>
            </w:pPr>
            <w:r>
              <w:rPr>
                <w:rFonts w:ascii="宋体" w:hAnsi="宋体" w:cs="宋体"/>
                <w:sz w:val="21"/>
                <w:szCs w:val="21"/>
              </w:rPr>
              <w:t>一级指标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二级</w:t>
            </w:r>
          </w:p>
          <w:p>
            <w:pPr>
              <w:pStyle w:val="23"/>
              <w:jc w:val="center"/>
              <w:rPr>
                <w:rFonts w:ascii="宋体" w:hAnsi="宋体" w:cs="宋体"/>
                <w:sz w:val="21"/>
                <w:szCs w:val="21"/>
              </w:rPr>
            </w:pPr>
            <w:r>
              <w:rPr>
                <w:rFonts w:ascii="宋体" w:hAnsi="宋体" w:cs="宋体"/>
                <w:sz w:val="21"/>
                <w:szCs w:val="21"/>
              </w:rPr>
              <w:t>指标</w:t>
            </w:r>
          </w:p>
        </w:tc>
        <w:tc>
          <w:tcPr>
            <w:tcW w:w="2835" w:type="dxa"/>
            <w:vAlign w:val="center"/>
          </w:tcPr>
          <w:p>
            <w:pPr>
              <w:pStyle w:val="23"/>
              <w:jc w:val="center"/>
              <w:rPr>
                <w:rFonts w:ascii="宋体" w:hAnsi="宋体" w:cs="宋体"/>
                <w:sz w:val="21"/>
                <w:szCs w:val="21"/>
              </w:rPr>
            </w:pPr>
            <w:r>
              <w:rPr>
                <w:rFonts w:ascii="宋体" w:hAnsi="宋体" w:cs="宋体"/>
                <w:sz w:val="21"/>
                <w:szCs w:val="21"/>
              </w:rPr>
              <w:t>二级指标说明</w:t>
            </w:r>
          </w:p>
        </w:tc>
        <w:tc>
          <w:tcPr>
            <w:tcW w:w="4025" w:type="dxa"/>
            <w:vAlign w:val="center"/>
          </w:tcPr>
          <w:p>
            <w:pPr>
              <w:pStyle w:val="23"/>
              <w:jc w:val="center"/>
              <w:rPr>
                <w:rFonts w:ascii="宋体" w:hAnsi="宋体" w:cs="宋体"/>
                <w:sz w:val="21"/>
                <w:szCs w:val="21"/>
              </w:rPr>
            </w:pPr>
            <w:r>
              <w:rPr>
                <w:rFonts w:ascii="宋体" w:hAnsi="宋体" w:cs="宋体"/>
                <w:sz w:val="21"/>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技术指标</w:t>
            </w:r>
          </w:p>
        </w:tc>
        <w:tc>
          <w:tcPr>
            <w:tcW w:w="851" w:type="dxa"/>
            <w:vAlign w:val="center"/>
          </w:tcPr>
          <w:p>
            <w:pPr>
              <w:pStyle w:val="23"/>
              <w:jc w:val="center"/>
              <w:rPr>
                <w:rFonts w:ascii="宋体" w:hAnsi="宋体" w:cs="宋体"/>
                <w:sz w:val="21"/>
                <w:szCs w:val="21"/>
              </w:rPr>
            </w:pPr>
            <w:r>
              <w:rPr>
                <w:rFonts w:ascii="宋体" w:hAnsi="宋体" w:cs="宋体"/>
                <w:sz w:val="21"/>
                <w:szCs w:val="21"/>
              </w:rPr>
              <w:t>创新性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成果在改进或创造新事物、方法、元素、路径、环境中表现出来的优良特性</w:t>
            </w:r>
          </w:p>
        </w:tc>
        <w:tc>
          <w:tcPr>
            <w:tcW w:w="4025" w:type="dxa"/>
            <w:vAlign w:val="center"/>
          </w:tcPr>
          <w:p>
            <w:pPr>
              <w:pStyle w:val="23"/>
              <w:jc w:val="both"/>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创新点；</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原始创新所占的比重；</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复杂与难易程度。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先进性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成果相对于其他成果表现出来的优良特性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领先程度；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战略性；</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前瞻性。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稳定性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成果受到外来因素扰动时所表现出来的特性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可靠程度；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重现频率；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寿命周期。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8" w:hRule="atLeast"/>
        </w:trPr>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知识</w:t>
            </w:r>
          </w:p>
          <w:p>
            <w:pPr>
              <w:pStyle w:val="23"/>
              <w:jc w:val="center"/>
              <w:rPr>
                <w:rFonts w:ascii="宋体" w:hAnsi="宋体" w:cs="宋体"/>
                <w:sz w:val="21"/>
                <w:szCs w:val="21"/>
              </w:rPr>
            </w:pPr>
            <w:r>
              <w:rPr>
                <w:rFonts w:ascii="宋体" w:hAnsi="宋体" w:cs="宋体"/>
                <w:sz w:val="21"/>
                <w:szCs w:val="21"/>
              </w:rPr>
              <w:t>产权</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成果依法所享有的专有权利</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专利（国内外发明、实用新型、外观设计）；</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软件著作权；</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标准（国际标准、国家标准、行业标准、地方标准、团体标准、企业标准）；</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4</w:t>
            </w:r>
            <w:r>
              <w:rPr>
                <w:rFonts w:ascii="宋体" w:hAnsi="宋体" w:cs="宋体"/>
                <w:sz w:val="21"/>
                <w:szCs w:val="21"/>
                <w:lang w:eastAsia="zh-CN"/>
              </w:rPr>
              <w:t>]</w:t>
            </w:r>
            <w:r>
              <w:rPr>
                <w:rFonts w:hint="eastAsia" w:ascii="宋体" w:hAnsi="宋体" w:cs="宋体"/>
                <w:sz w:val="21"/>
                <w:szCs w:val="21"/>
                <w:lang w:eastAsia="zh-CN"/>
              </w:rPr>
              <w:t>商标及地理标志；</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5</w:t>
            </w:r>
            <w:r>
              <w:rPr>
                <w:rFonts w:ascii="宋体" w:hAnsi="宋体" w:cs="宋体"/>
                <w:sz w:val="21"/>
                <w:szCs w:val="21"/>
                <w:lang w:eastAsia="zh-CN"/>
              </w:rPr>
              <w:t>]</w:t>
            </w:r>
            <w:r>
              <w:rPr>
                <w:rFonts w:hint="eastAsia" w:ascii="宋体" w:hAnsi="宋体" w:cs="宋体"/>
                <w:sz w:val="21"/>
                <w:szCs w:val="21"/>
                <w:lang w:eastAsia="zh-CN"/>
              </w:rPr>
              <w:t>新品种及品种权；</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6</w:t>
            </w:r>
            <w:r>
              <w:rPr>
                <w:rFonts w:ascii="宋体" w:hAnsi="宋体" w:cs="宋体"/>
                <w:sz w:val="21"/>
                <w:szCs w:val="21"/>
                <w:lang w:eastAsia="zh-CN"/>
              </w:rPr>
              <w:t>]</w:t>
            </w:r>
            <w:r>
              <w:rPr>
                <w:rFonts w:hint="eastAsia" w:ascii="宋体" w:hAnsi="宋体" w:cs="宋体"/>
                <w:sz w:val="21"/>
                <w:szCs w:val="21"/>
                <w:lang w:eastAsia="zh-CN"/>
              </w:rPr>
              <w:t>学术论文篇数、期刊影响因子以及他引率；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7</w:t>
            </w:r>
            <w:r>
              <w:rPr>
                <w:rFonts w:ascii="宋体" w:hAnsi="宋体" w:cs="宋体"/>
                <w:sz w:val="21"/>
                <w:szCs w:val="21"/>
                <w:lang w:eastAsia="zh-CN"/>
              </w:rPr>
              <w:t>]</w:t>
            </w:r>
            <w:r>
              <w:rPr>
                <w:rFonts w:hint="eastAsia" w:ascii="宋体" w:hAnsi="宋体" w:cs="宋体"/>
                <w:sz w:val="21"/>
                <w:szCs w:val="21"/>
                <w:lang w:eastAsia="zh-CN"/>
              </w:rPr>
              <w:t>出版专著。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效益指标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经济</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hint="eastAsia" w:ascii="宋体" w:hAnsi="宋体" w:cs="宋体"/>
                <w:sz w:val="21"/>
                <w:szCs w:val="21"/>
                <w:lang w:eastAsia="zh-CN"/>
              </w:rPr>
              <w:t>对相关产业的带动作用</w:t>
            </w:r>
          </w:p>
        </w:tc>
        <w:tc>
          <w:tcPr>
            <w:tcW w:w="4025" w:type="dxa"/>
            <w:vAlign w:val="center"/>
          </w:tcPr>
          <w:p>
            <w:pPr>
              <w:pStyle w:val="23"/>
              <w:jc w:val="both"/>
              <w:rPr>
                <w:rFonts w:ascii="宋体" w:hAnsi="宋体" w:cs="宋体"/>
                <w:sz w:val="21"/>
                <w:szCs w:val="21"/>
                <w:lang w:eastAsia="zh-CN"/>
              </w:rPr>
            </w:pPr>
            <w:r>
              <w:rPr>
                <w:rFonts w:hint="eastAsia" w:ascii="宋体" w:hAnsi="宋体" w:cs="宋体"/>
                <w:sz w:val="21"/>
                <w:szCs w:val="21"/>
                <w:lang w:eastAsia="zh-CN"/>
              </w:rPr>
              <w:t>预期产业带动作用。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社会</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成果实施后为社会所作的贡献</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对本领域基础研究的贡献；</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对提高科技普及的贡献；</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对相关学科的影响。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生态</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成果实施使自然界的生物系统对人类的生产、生活条件和环境条件所产生的有益影响和有利效果</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主要投入品的使用效率；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减少污染源的数量；</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降低能耗的数量。</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（2）应用开发类</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表 2应用开发类科技成果评价指标</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2835"/>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pPr>
              <w:pStyle w:val="23"/>
              <w:jc w:val="center"/>
              <w:rPr>
                <w:rFonts w:ascii="宋体" w:hAnsi="宋体" w:cs="宋体"/>
                <w:sz w:val="21"/>
                <w:szCs w:val="21"/>
              </w:rPr>
            </w:pPr>
            <w:r>
              <w:rPr>
                <w:rFonts w:ascii="宋体" w:hAnsi="宋体" w:cs="宋体"/>
                <w:sz w:val="21"/>
                <w:szCs w:val="21"/>
              </w:rPr>
              <w:t>一级指标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二级</w:t>
            </w:r>
          </w:p>
          <w:p>
            <w:pPr>
              <w:pStyle w:val="23"/>
              <w:jc w:val="center"/>
              <w:rPr>
                <w:rFonts w:ascii="宋体" w:hAnsi="宋体" w:cs="宋体"/>
                <w:sz w:val="21"/>
                <w:szCs w:val="21"/>
              </w:rPr>
            </w:pPr>
            <w:r>
              <w:rPr>
                <w:rFonts w:ascii="宋体" w:hAnsi="宋体" w:cs="宋体"/>
                <w:sz w:val="21"/>
                <w:szCs w:val="21"/>
              </w:rPr>
              <w:t>指标</w:t>
            </w:r>
          </w:p>
        </w:tc>
        <w:tc>
          <w:tcPr>
            <w:tcW w:w="2835" w:type="dxa"/>
            <w:vAlign w:val="center"/>
          </w:tcPr>
          <w:p>
            <w:pPr>
              <w:pStyle w:val="23"/>
              <w:jc w:val="center"/>
              <w:rPr>
                <w:rFonts w:ascii="宋体" w:hAnsi="宋体" w:cs="宋体"/>
                <w:sz w:val="21"/>
                <w:szCs w:val="21"/>
              </w:rPr>
            </w:pPr>
            <w:r>
              <w:rPr>
                <w:rFonts w:ascii="宋体" w:hAnsi="宋体" w:cs="宋体"/>
                <w:sz w:val="21"/>
                <w:szCs w:val="21"/>
              </w:rPr>
              <w:t>二级指标说明</w:t>
            </w:r>
          </w:p>
        </w:tc>
        <w:tc>
          <w:tcPr>
            <w:tcW w:w="4025" w:type="dxa"/>
            <w:vAlign w:val="center"/>
          </w:tcPr>
          <w:p>
            <w:pPr>
              <w:pStyle w:val="23"/>
              <w:jc w:val="center"/>
              <w:rPr>
                <w:rFonts w:ascii="宋体" w:hAnsi="宋体" w:cs="宋体"/>
                <w:sz w:val="21"/>
                <w:szCs w:val="21"/>
              </w:rPr>
            </w:pPr>
            <w:r>
              <w:rPr>
                <w:rFonts w:ascii="宋体" w:hAnsi="宋体" w:cs="宋体"/>
                <w:sz w:val="21"/>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技术指标</w:t>
            </w:r>
          </w:p>
        </w:tc>
        <w:tc>
          <w:tcPr>
            <w:tcW w:w="851" w:type="dxa"/>
            <w:vAlign w:val="center"/>
          </w:tcPr>
          <w:p>
            <w:pPr>
              <w:pStyle w:val="23"/>
              <w:jc w:val="center"/>
              <w:rPr>
                <w:rFonts w:ascii="宋体" w:hAnsi="宋体" w:cs="宋体"/>
                <w:sz w:val="21"/>
                <w:szCs w:val="21"/>
              </w:rPr>
            </w:pPr>
            <w:r>
              <w:rPr>
                <w:rFonts w:ascii="宋体" w:hAnsi="宋体" w:cs="宋体"/>
                <w:sz w:val="21"/>
                <w:szCs w:val="21"/>
              </w:rPr>
              <w:t>创新性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成果在改进或创造新事物、方法、元素、路径、环境中表现出来的优良特性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创新点；</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原始创新所占的比重；</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复杂与难易程度。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先进性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成果相对于其他成果表现出来的优良特性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领先程度；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战略性；</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前瞻性。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稳定性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成果受到外来因素扰动时所表现出来的特性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可靠程度；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重现频率；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寿命周期。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成熟度</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成果所处的阶段，包括实验室、小试、中试、大规模生产等</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研发阶段；</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产业化程度。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知识</w:t>
            </w:r>
          </w:p>
          <w:p>
            <w:pPr>
              <w:pStyle w:val="23"/>
              <w:jc w:val="center"/>
              <w:rPr>
                <w:rFonts w:ascii="宋体" w:hAnsi="宋体" w:cs="宋体"/>
                <w:sz w:val="21"/>
                <w:szCs w:val="21"/>
              </w:rPr>
            </w:pPr>
            <w:r>
              <w:rPr>
                <w:rFonts w:ascii="宋体" w:hAnsi="宋体" w:cs="宋体"/>
                <w:sz w:val="21"/>
                <w:szCs w:val="21"/>
              </w:rPr>
              <w:t>产权</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成果依法所享有的专有权利</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专利（国内外发明、实用新型、外观设计）；</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软件著作权；</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标准（国际标准、国家标准、行业标准、地方标准、团体标准、企业标准）；</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4</w:t>
            </w:r>
            <w:r>
              <w:rPr>
                <w:rFonts w:ascii="宋体" w:hAnsi="宋体" w:cs="宋体"/>
                <w:sz w:val="21"/>
                <w:szCs w:val="21"/>
                <w:lang w:eastAsia="zh-CN"/>
              </w:rPr>
              <w:t>]</w:t>
            </w:r>
            <w:r>
              <w:rPr>
                <w:rFonts w:hint="eastAsia" w:ascii="宋体" w:hAnsi="宋体" w:cs="宋体"/>
                <w:sz w:val="21"/>
                <w:szCs w:val="21"/>
                <w:lang w:eastAsia="zh-CN"/>
              </w:rPr>
              <w:t>商标及地理标志；</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5</w:t>
            </w:r>
            <w:r>
              <w:rPr>
                <w:rFonts w:ascii="宋体" w:hAnsi="宋体" w:cs="宋体"/>
                <w:sz w:val="21"/>
                <w:szCs w:val="21"/>
                <w:lang w:eastAsia="zh-CN"/>
              </w:rPr>
              <w:t>]</w:t>
            </w:r>
            <w:r>
              <w:rPr>
                <w:rFonts w:hint="eastAsia" w:ascii="宋体" w:hAnsi="宋体" w:cs="宋体"/>
                <w:sz w:val="21"/>
                <w:szCs w:val="21"/>
                <w:lang w:eastAsia="zh-CN"/>
              </w:rPr>
              <w:t>新品种及品种权；</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6</w:t>
            </w:r>
            <w:r>
              <w:rPr>
                <w:rFonts w:ascii="宋体" w:hAnsi="宋体" w:cs="宋体"/>
                <w:sz w:val="21"/>
                <w:szCs w:val="21"/>
                <w:lang w:eastAsia="zh-CN"/>
              </w:rPr>
              <w:t>]</w:t>
            </w:r>
            <w:r>
              <w:rPr>
                <w:rFonts w:hint="eastAsia" w:ascii="宋体" w:hAnsi="宋体" w:cs="宋体"/>
                <w:sz w:val="21"/>
                <w:szCs w:val="21"/>
                <w:lang w:eastAsia="zh-CN"/>
              </w:rPr>
              <w:t>学术论文的篇数、期刊影响因子及其他引率；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7</w:t>
            </w:r>
            <w:r>
              <w:rPr>
                <w:rFonts w:ascii="宋体" w:hAnsi="宋体" w:cs="宋体"/>
                <w:sz w:val="21"/>
                <w:szCs w:val="21"/>
                <w:lang w:eastAsia="zh-CN"/>
              </w:rPr>
              <w:t>]</w:t>
            </w:r>
            <w:r>
              <w:rPr>
                <w:rFonts w:hint="eastAsia" w:ascii="宋体" w:hAnsi="宋体" w:cs="宋体"/>
                <w:sz w:val="21"/>
                <w:szCs w:val="21"/>
                <w:lang w:eastAsia="zh-CN"/>
              </w:rPr>
              <w:t>出版专著。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效益指标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经济</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资金占用、成本支出与</w:t>
            </w:r>
            <w:r>
              <w:rPr>
                <w:rFonts w:hint="eastAsia" w:ascii="宋体" w:hAnsi="宋体" w:cs="宋体"/>
                <w:sz w:val="21"/>
                <w:szCs w:val="21"/>
                <w:lang w:eastAsia="zh-CN"/>
              </w:rPr>
              <w:t>已有</w:t>
            </w:r>
            <w:r>
              <w:rPr>
                <w:rFonts w:ascii="宋体" w:hAnsi="宋体" w:cs="宋体"/>
                <w:sz w:val="21"/>
                <w:szCs w:val="21"/>
                <w:lang w:eastAsia="zh-CN"/>
              </w:rPr>
              <w:t>生产成果之间的比较</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投入产出比；</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已取得的销售额或销售收入；</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推广面积或销售数量；</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4</w:t>
            </w:r>
            <w:r>
              <w:rPr>
                <w:rFonts w:ascii="宋体" w:hAnsi="宋体" w:cs="宋体"/>
                <w:sz w:val="21"/>
                <w:szCs w:val="21"/>
                <w:lang w:eastAsia="zh-CN"/>
              </w:rPr>
              <w:t>]</w:t>
            </w:r>
            <w:r>
              <w:rPr>
                <w:rFonts w:hint="eastAsia" w:ascii="宋体" w:hAnsi="宋体" w:cs="宋体"/>
                <w:sz w:val="21"/>
                <w:szCs w:val="21"/>
                <w:lang w:eastAsia="zh-CN"/>
              </w:rPr>
              <w:t>占据的市场份额；</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5</w:t>
            </w:r>
            <w:r>
              <w:rPr>
                <w:rFonts w:ascii="宋体" w:hAnsi="宋体" w:cs="宋体"/>
                <w:sz w:val="21"/>
                <w:szCs w:val="21"/>
                <w:lang w:eastAsia="zh-CN"/>
              </w:rPr>
              <w:t>]</w:t>
            </w:r>
            <w:r>
              <w:rPr>
                <w:rFonts w:hint="eastAsia" w:ascii="宋体" w:hAnsi="宋体" w:cs="宋体"/>
                <w:sz w:val="21"/>
                <w:szCs w:val="21"/>
                <w:lang w:eastAsia="zh-CN"/>
              </w:rPr>
              <w:t>年净利润额；</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6</w:t>
            </w:r>
            <w:r>
              <w:rPr>
                <w:rFonts w:ascii="宋体" w:hAnsi="宋体" w:cs="宋体"/>
                <w:sz w:val="21"/>
                <w:szCs w:val="21"/>
                <w:lang w:eastAsia="zh-CN"/>
              </w:rPr>
              <w:t>]</w:t>
            </w:r>
            <w:r>
              <w:rPr>
                <w:rFonts w:hint="eastAsia" w:ascii="宋体" w:hAnsi="宋体" w:cs="宋体"/>
                <w:sz w:val="21"/>
                <w:szCs w:val="21"/>
                <w:lang w:eastAsia="zh-CN"/>
              </w:rPr>
              <w:t>上交的税收；</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7</w:t>
            </w:r>
            <w:r>
              <w:rPr>
                <w:rFonts w:ascii="宋体" w:hAnsi="宋体" w:cs="宋体"/>
                <w:sz w:val="21"/>
                <w:szCs w:val="21"/>
                <w:lang w:eastAsia="zh-CN"/>
              </w:rPr>
              <w:t xml:space="preserve">] </w:t>
            </w:r>
            <w:r>
              <w:rPr>
                <w:rFonts w:hint="eastAsia" w:ascii="宋体" w:hAnsi="宋体" w:cs="宋体"/>
                <w:sz w:val="21"/>
                <w:szCs w:val="21"/>
                <w:lang w:eastAsia="zh-CN"/>
              </w:rPr>
              <w:t>增产、增收百分比。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社会</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成果实施后为社会所作的贡献</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社会经济效益（增收额）；</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带动就业人员数量；</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促进或带动相关产业发展程度（产业融合）；</w:t>
            </w:r>
          </w:p>
          <w:p>
            <w:pPr>
              <w:pStyle w:val="23"/>
              <w:jc w:val="both"/>
              <w:rPr>
                <w:rFonts w:ascii="宋体" w:hAnsi="宋体" w:cs="宋体"/>
                <w:sz w:val="21"/>
                <w:szCs w:val="21"/>
                <w:lang w:eastAsia="zh-CN"/>
              </w:rPr>
            </w:pPr>
            <w:r>
              <w:rPr>
                <w:rFonts w:hint="eastAsia" w:ascii="宋体" w:hAnsi="宋体" w:cs="宋体"/>
                <w:sz w:val="21"/>
                <w:szCs w:val="21"/>
                <w:lang w:eastAsia="zh-CN"/>
              </w:rPr>
              <w:t>[</w:t>
            </w:r>
            <w:r>
              <w:rPr>
                <w:rFonts w:ascii="宋体" w:hAnsi="宋体" w:cs="宋体"/>
                <w:sz w:val="21"/>
                <w:szCs w:val="21"/>
                <w:lang w:eastAsia="zh-CN"/>
              </w:rPr>
              <w:t>4]</w:t>
            </w:r>
            <w:r>
              <w:rPr>
                <w:rFonts w:hint="eastAsia" w:ascii="宋体" w:hAnsi="宋体" w:cs="宋体"/>
                <w:sz w:val="21"/>
                <w:szCs w:val="21"/>
                <w:lang w:eastAsia="zh-CN"/>
              </w:rPr>
              <w:t>对行业科技进步的推动作用。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生态</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成果实施使自然界的生物系统对人类的生产、生活条件和环境条件所产生的有益影响和有利效果</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主要投入品的使用效率；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减少污染源的数量；</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降低能耗的数量。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风险指标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技术</w:t>
            </w:r>
          </w:p>
          <w:p>
            <w:pPr>
              <w:pStyle w:val="23"/>
              <w:jc w:val="center"/>
              <w:rPr>
                <w:rFonts w:ascii="宋体" w:hAnsi="宋体" w:cs="宋体"/>
                <w:sz w:val="21"/>
                <w:szCs w:val="21"/>
              </w:rPr>
            </w:pPr>
            <w:r>
              <w:rPr>
                <w:rFonts w:ascii="宋体" w:hAnsi="宋体" w:cs="宋体"/>
                <w:sz w:val="21"/>
                <w:szCs w:val="21"/>
              </w:rPr>
              <w:t>风险</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成果本身可能存在的技术瑕疵或缺陷所带来的损失或危害</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潜在的权益纠纷情况；</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潜在的社会伦理风险或危害；</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潜在的科技发展风险或危害；</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4</w:t>
            </w:r>
            <w:r>
              <w:rPr>
                <w:rFonts w:ascii="宋体" w:hAnsi="宋体" w:cs="宋体"/>
                <w:sz w:val="21"/>
                <w:szCs w:val="21"/>
                <w:lang w:eastAsia="zh-CN"/>
              </w:rPr>
              <w:t>]</w:t>
            </w:r>
            <w:r>
              <w:rPr>
                <w:rFonts w:hint="eastAsia" w:ascii="宋体" w:hAnsi="宋体" w:cs="宋体"/>
                <w:sz w:val="21"/>
                <w:szCs w:val="21"/>
                <w:lang w:eastAsia="zh-CN"/>
              </w:rPr>
              <w:t>潜在的生物安全风险或危害。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市场</w:t>
            </w:r>
          </w:p>
          <w:p>
            <w:pPr>
              <w:pStyle w:val="23"/>
              <w:jc w:val="center"/>
              <w:rPr>
                <w:rFonts w:ascii="宋体" w:hAnsi="宋体" w:cs="宋体"/>
                <w:sz w:val="21"/>
                <w:szCs w:val="21"/>
              </w:rPr>
            </w:pPr>
            <w:r>
              <w:rPr>
                <w:rFonts w:ascii="宋体" w:hAnsi="宋体" w:cs="宋体"/>
                <w:sz w:val="21"/>
                <w:szCs w:val="21"/>
              </w:rPr>
              <w:t>风险</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市场供求等因素变动所带来的损失或危害</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进入市场的难易程度；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影响实现预期效益的因素；</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行业竞争情况。</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sz w:val="28"/>
          <w:szCs w:val="28"/>
        </w:rPr>
      </w:pPr>
      <w:r>
        <w:rPr>
          <w:rFonts w:hint="eastAsia" w:ascii="宋体" w:hAnsi="宋体"/>
          <w:sz w:val="28"/>
          <w:szCs w:val="28"/>
        </w:rPr>
        <w:t>（3）</w:t>
      </w:r>
      <w:r>
        <w:rPr>
          <w:rFonts w:ascii="宋体" w:hAnsi="宋体"/>
          <w:sz w:val="28"/>
          <w:szCs w:val="28"/>
        </w:rPr>
        <w:t>决策咨询类</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cs="宋体"/>
          <w:sz w:val="28"/>
          <w:szCs w:val="28"/>
        </w:rPr>
      </w:pPr>
      <w:r>
        <w:rPr>
          <w:rFonts w:ascii="宋体" w:hAnsi="宋体" w:cs="宋体"/>
          <w:sz w:val="28"/>
          <w:szCs w:val="28"/>
        </w:rPr>
        <w:t>表3</w:t>
      </w:r>
      <w:r>
        <w:rPr>
          <w:rFonts w:hint="eastAsia" w:ascii="宋体" w:hAnsi="宋体" w:cs="宋体"/>
          <w:sz w:val="28"/>
          <w:szCs w:val="28"/>
        </w:rPr>
        <w:t xml:space="preserve">  </w:t>
      </w:r>
      <w:r>
        <w:rPr>
          <w:rFonts w:ascii="宋体" w:hAnsi="宋体" w:cs="宋体"/>
          <w:sz w:val="28"/>
          <w:szCs w:val="28"/>
        </w:rPr>
        <w:t>决策咨询类科技成果评价指标</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2835"/>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23"/>
              <w:jc w:val="center"/>
              <w:rPr>
                <w:rFonts w:ascii="宋体" w:hAnsi="宋体" w:cs="宋体"/>
                <w:sz w:val="21"/>
                <w:szCs w:val="21"/>
              </w:rPr>
            </w:pPr>
            <w:r>
              <w:rPr>
                <w:rFonts w:ascii="宋体" w:hAnsi="宋体" w:cs="宋体"/>
                <w:sz w:val="21"/>
                <w:szCs w:val="21"/>
              </w:rPr>
              <w:t>一级指标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二级</w:t>
            </w:r>
          </w:p>
          <w:p>
            <w:pPr>
              <w:pStyle w:val="23"/>
              <w:jc w:val="center"/>
              <w:rPr>
                <w:rFonts w:ascii="宋体" w:hAnsi="宋体" w:cs="宋体"/>
                <w:sz w:val="21"/>
                <w:szCs w:val="21"/>
              </w:rPr>
            </w:pPr>
            <w:r>
              <w:rPr>
                <w:rFonts w:ascii="宋体" w:hAnsi="宋体" w:cs="宋体"/>
                <w:sz w:val="21"/>
                <w:szCs w:val="21"/>
              </w:rPr>
              <w:t>指标</w:t>
            </w:r>
          </w:p>
        </w:tc>
        <w:tc>
          <w:tcPr>
            <w:tcW w:w="2835" w:type="dxa"/>
            <w:vAlign w:val="center"/>
          </w:tcPr>
          <w:p>
            <w:pPr>
              <w:pStyle w:val="23"/>
              <w:jc w:val="center"/>
              <w:rPr>
                <w:rFonts w:ascii="宋体" w:hAnsi="宋体" w:cs="宋体"/>
                <w:sz w:val="21"/>
                <w:szCs w:val="21"/>
              </w:rPr>
            </w:pPr>
            <w:r>
              <w:rPr>
                <w:rFonts w:ascii="宋体" w:hAnsi="宋体" w:cs="宋体"/>
                <w:sz w:val="21"/>
                <w:szCs w:val="21"/>
              </w:rPr>
              <w:t>二级指标说明</w:t>
            </w:r>
          </w:p>
        </w:tc>
        <w:tc>
          <w:tcPr>
            <w:tcW w:w="4025" w:type="dxa"/>
            <w:vAlign w:val="center"/>
          </w:tcPr>
          <w:p>
            <w:pPr>
              <w:pStyle w:val="23"/>
              <w:jc w:val="center"/>
              <w:rPr>
                <w:rFonts w:ascii="宋体" w:hAnsi="宋体" w:cs="宋体"/>
                <w:sz w:val="21"/>
                <w:szCs w:val="21"/>
              </w:rPr>
            </w:pPr>
            <w:r>
              <w:rPr>
                <w:rFonts w:ascii="宋体" w:hAnsi="宋体" w:cs="宋体"/>
                <w:sz w:val="21"/>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技术指标</w:t>
            </w:r>
          </w:p>
        </w:tc>
        <w:tc>
          <w:tcPr>
            <w:tcW w:w="851" w:type="dxa"/>
            <w:vAlign w:val="center"/>
          </w:tcPr>
          <w:p>
            <w:pPr>
              <w:pStyle w:val="23"/>
              <w:jc w:val="center"/>
              <w:rPr>
                <w:rFonts w:ascii="宋体" w:hAnsi="宋体" w:cs="宋体"/>
                <w:sz w:val="21"/>
                <w:szCs w:val="21"/>
              </w:rPr>
            </w:pPr>
            <w:r>
              <w:rPr>
                <w:rFonts w:ascii="宋体" w:hAnsi="宋体" w:cs="宋体"/>
                <w:sz w:val="21"/>
                <w:szCs w:val="21"/>
              </w:rPr>
              <w:t>创新性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成果在改进或创造新事物、方法、元素、路径、环境中表现出来的优良特性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创新点；</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复杂与难易程度。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先进性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成果相对于其他成果表现出来的优良特性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领先程度；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战略性；</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前瞻性。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稳定性</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成果受到外来因素扰动时所表现出来的特性</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可靠程度；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重现频率；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时效性。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rPr>
            </w:pPr>
            <w:r>
              <w:rPr>
                <w:rFonts w:ascii="宋体" w:hAnsi="宋体" w:cs="宋体"/>
                <w:sz w:val="21"/>
                <w:szCs w:val="21"/>
              </w:rPr>
              <w:t>成熟度</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成果所处的阶段</w:t>
            </w:r>
            <w:r>
              <w:rPr>
                <w:rFonts w:hint="eastAsia" w:ascii="宋体" w:hAnsi="宋体" w:cs="宋体"/>
                <w:sz w:val="21"/>
                <w:szCs w:val="21"/>
                <w:lang w:eastAsia="zh-CN"/>
              </w:rPr>
              <w:t>以及政府推动情况</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成熟程度；</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被采纳或应用情况。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知识</w:t>
            </w:r>
          </w:p>
          <w:p>
            <w:pPr>
              <w:pStyle w:val="23"/>
              <w:jc w:val="center"/>
              <w:rPr>
                <w:rFonts w:ascii="宋体" w:hAnsi="宋体" w:cs="宋体"/>
                <w:sz w:val="21"/>
                <w:szCs w:val="21"/>
              </w:rPr>
            </w:pPr>
            <w:r>
              <w:rPr>
                <w:rFonts w:ascii="宋体" w:hAnsi="宋体" w:cs="宋体"/>
                <w:sz w:val="21"/>
                <w:szCs w:val="21"/>
              </w:rPr>
              <w:t>产权</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成果依法所享有的专有权利</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专利（国内外发明、实用新型、外观设计）；</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软件著作权；</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标准（国际标准、国家标准、行业标准、地方标准、团体标准、企业标准）；</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4</w:t>
            </w:r>
            <w:r>
              <w:rPr>
                <w:rFonts w:ascii="宋体" w:hAnsi="宋体" w:cs="宋体"/>
                <w:sz w:val="21"/>
                <w:szCs w:val="21"/>
                <w:lang w:eastAsia="zh-CN"/>
              </w:rPr>
              <w:t>]</w:t>
            </w:r>
            <w:r>
              <w:rPr>
                <w:rFonts w:hint="eastAsia" w:ascii="宋体" w:hAnsi="宋体" w:cs="宋体"/>
                <w:sz w:val="21"/>
                <w:szCs w:val="21"/>
                <w:lang w:eastAsia="zh-CN"/>
              </w:rPr>
              <w:t>学术论文的篇数、期刊影响因子及其他引率；</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5</w:t>
            </w:r>
            <w:r>
              <w:rPr>
                <w:rFonts w:ascii="宋体" w:hAnsi="宋体" w:cs="宋体"/>
                <w:sz w:val="21"/>
                <w:szCs w:val="21"/>
                <w:lang w:eastAsia="zh-CN"/>
              </w:rPr>
              <w:t>]</w:t>
            </w:r>
            <w:r>
              <w:rPr>
                <w:rFonts w:hint="eastAsia" w:ascii="宋体" w:hAnsi="宋体" w:cs="宋体"/>
                <w:sz w:val="21"/>
                <w:szCs w:val="21"/>
                <w:lang w:eastAsia="zh-CN"/>
              </w:rPr>
              <w:t>出版专著；</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6</w:t>
            </w:r>
            <w:r>
              <w:rPr>
                <w:rFonts w:ascii="宋体" w:hAnsi="宋体" w:cs="宋体"/>
                <w:sz w:val="21"/>
                <w:szCs w:val="21"/>
                <w:lang w:eastAsia="zh-CN"/>
              </w:rPr>
              <w:t>]</w:t>
            </w:r>
            <w:r>
              <w:rPr>
                <w:rFonts w:hint="eastAsia" w:ascii="宋体" w:hAnsi="宋体" w:cs="宋体"/>
                <w:sz w:val="21"/>
                <w:szCs w:val="21"/>
                <w:lang w:eastAsia="zh-CN"/>
              </w:rPr>
              <w:t>决策咨询报告；</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7</w:t>
            </w:r>
            <w:r>
              <w:rPr>
                <w:rFonts w:ascii="宋体" w:hAnsi="宋体" w:cs="宋体"/>
                <w:sz w:val="21"/>
                <w:szCs w:val="21"/>
                <w:lang w:eastAsia="zh-CN"/>
              </w:rPr>
              <w:t>]</w:t>
            </w:r>
            <w:r>
              <w:rPr>
                <w:rFonts w:hint="eastAsia" w:ascii="宋体" w:hAnsi="宋体" w:cs="宋体"/>
                <w:sz w:val="21"/>
                <w:szCs w:val="21"/>
                <w:lang w:eastAsia="zh-CN"/>
              </w:rPr>
              <w:t>党政领导批示。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3"/>
              <w:jc w:val="center"/>
              <w:rPr>
                <w:rFonts w:ascii="宋体" w:hAnsi="宋体" w:cs="宋体"/>
                <w:sz w:val="21"/>
                <w:szCs w:val="21"/>
                <w:lang w:eastAsia="zh-CN"/>
              </w:rPr>
            </w:pPr>
            <w:r>
              <w:rPr>
                <w:rFonts w:hint="eastAsia" w:ascii="宋体" w:hAnsi="宋体" w:cs="宋体"/>
                <w:sz w:val="21"/>
                <w:szCs w:val="21"/>
                <w:lang w:eastAsia="zh-CN"/>
              </w:rPr>
              <w:t>效益指标</w:t>
            </w: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经济</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资金占用、成本支出与有用生产成果之间的比较</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产业增加值；</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年净利润额。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社会</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成果实施后为社会所作的贡献</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对产业发展的指导作用；</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对区域宏观决策的影响；</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对产业科技进步的影响。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pStyle w:val="23"/>
              <w:jc w:val="center"/>
              <w:rPr>
                <w:rFonts w:ascii="宋体" w:hAnsi="宋体" w:cs="宋体"/>
                <w:sz w:val="21"/>
                <w:szCs w:val="21"/>
                <w:lang w:eastAsia="zh-CN"/>
              </w:rPr>
            </w:pPr>
          </w:p>
        </w:tc>
        <w:tc>
          <w:tcPr>
            <w:tcW w:w="851" w:type="dxa"/>
            <w:vAlign w:val="center"/>
          </w:tcPr>
          <w:p>
            <w:pPr>
              <w:pStyle w:val="23"/>
              <w:jc w:val="center"/>
              <w:rPr>
                <w:rFonts w:ascii="宋体" w:hAnsi="宋体" w:cs="宋体"/>
                <w:sz w:val="21"/>
                <w:szCs w:val="21"/>
                <w:lang w:eastAsia="zh-CN"/>
              </w:rPr>
            </w:pPr>
            <w:r>
              <w:rPr>
                <w:rFonts w:ascii="宋体" w:hAnsi="宋体" w:cs="宋体"/>
                <w:sz w:val="21"/>
                <w:szCs w:val="21"/>
              </w:rPr>
              <w:t>生态</w:t>
            </w:r>
          </w:p>
          <w:p>
            <w:pPr>
              <w:pStyle w:val="23"/>
              <w:jc w:val="center"/>
              <w:rPr>
                <w:rFonts w:ascii="宋体" w:hAnsi="宋体" w:cs="宋体"/>
                <w:sz w:val="21"/>
                <w:szCs w:val="21"/>
              </w:rPr>
            </w:pPr>
            <w:r>
              <w:rPr>
                <w:rFonts w:ascii="宋体" w:hAnsi="宋体" w:cs="宋体"/>
                <w:sz w:val="21"/>
                <w:szCs w:val="21"/>
              </w:rPr>
              <w:t>效益</w:t>
            </w:r>
          </w:p>
        </w:tc>
        <w:tc>
          <w:tcPr>
            <w:tcW w:w="2835" w:type="dxa"/>
            <w:vAlign w:val="center"/>
          </w:tcPr>
          <w:p>
            <w:pPr>
              <w:pStyle w:val="23"/>
              <w:jc w:val="both"/>
              <w:rPr>
                <w:rFonts w:ascii="宋体" w:hAnsi="宋体" w:cs="宋体"/>
                <w:sz w:val="21"/>
                <w:szCs w:val="21"/>
                <w:lang w:eastAsia="zh-CN"/>
              </w:rPr>
            </w:pPr>
            <w:r>
              <w:rPr>
                <w:rFonts w:ascii="宋体" w:hAnsi="宋体" w:cs="宋体"/>
                <w:sz w:val="21"/>
                <w:szCs w:val="21"/>
                <w:lang w:eastAsia="zh-CN"/>
              </w:rPr>
              <w:t>成果实施</w:t>
            </w:r>
            <w:r>
              <w:rPr>
                <w:rFonts w:hint="eastAsia" w:ascii="宋体" w:hAnsi="宋体" w:cs="宋体"/>
                <w:sz w:val="21"/>
                <w:szCs w:val="21"/>
                <w:lang w:eastAsia="zh-CN"/>
              </w:rPr>
              <w:t>对产业、科技生态</w:t>
            </w:r>
            <w:r>
              <w:rPr>
                <w:rFonts w:ascii="宋体" w:hAnsi="宋体" w:cs="宋体"/>
                <w:sz w:val="21"/>
                <w:szCs w:val="21"/>
                <w:lang w:eastAsia="zh-CN"/>
              </w:rPr>
              <w:t>环境条件所产生的有益影响和有利效果</w:t>
            </w:r>
          </w:p>
        </w:tc>
        <w:tc>
          <w:tcPr>
            <w:tcW w:w="4025" w:type="dxa"/>
            <w:vAlign w:val="center"/>
          </w:tcPr>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1</w:t>
            </w:r>
            <w:r>
              <w:rPr>
                <w:rFonts w:ascii="宋体" w:hAnsi="宋体" w:cs="宋体"/>
                <w:sz w:val="21"/>
                <w:szCs w:val="21"/>
                <w:lang w:eastAsia="zh-CN"/>
              </w:rPr>
              <w:t>]</w:t>
            </w:r>
            <w:r>
              <w:rPr>
                <w:rFonts w:hint="eastAsia" w:ascii="宋体" w:hAnsi="宋体" w:cs="宋体"/>
                <w:sz w:val="21"/>
                <w:szCs w:val="21"/>
                <w:lang w:eastAsia="zh-CN"/>
              </w:rPr>
              <w:t>对科技生态环境的影响；</w:t>
            </w:r>
          </w:p>
          <w:p>
            <w:pPr>
              <w:pStyle w:val="23"/>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对产业生态环境的影响。</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4.评价咨询专家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评价咨询专家应具备以下条件：具有高级技术职称，在相关领域工作五年以上；‎遵守国家法律法规和社会公德，具有严谨的科学态度和良好的职业道德，认真严谨，客观公正；熟悉国家相关法律法规和本文件；对评价成果所属专业领域有较丰富的理论知识和实践经验，熟悉国内外该领域技术发展的状况，具备完成评价服务的能力，具有一定的学术造诣。享有以下权利：对科技成果独立做出评价，不受任何单位和个人的干涉；通过评价方要求科技成果完成者提供充分、详实的技术资料（包括必要的原始资料），向科技成果完成单位或个人提出质疑并要求做出解释，要求复核试验或测试结果；充分发表个人意见，有权要求在评价结论中记载不同意见；有权要求排除影响成果评价工作的干扰，必要时可向评价主体提出退出评价请求。应遵守以下义务：维护评价成果所有者的知识产权，保守被评价成果的技术秘密。评价工作完成后，有关评价成果的所有材料应当全部退还给评价主体，不得向其他组织或者个人扩散，不得非法占有、使用、提供、转让；自觉坚持回避原则，不接受邀请参加与评价成果有利益关系或可能影响公正性的评价；提供的书面评价意见应当清晰、准确地反映评价成果的实际情况，并对所出具的评价意见负责；不得收受除约定的咨询费之外的任何组织、个人提供的与评价有关的不当收益。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5.评价流程</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委托方根据自愿原则，向评价主体提出申请并提供申请材料，包括但不限于申请表和成果材料。申请材料应当完整、真实、清晰、可靠，前后内容表述一致。申请表内容，包括但不限于成果名称、委托方、第一完成组织或个人以及委托方声明等信息。成果材料包括成果简介和成果证明材料。成果简介包括但不限于工作报告、研究报告、效益报告。成果证明材料包括但不限于第三方检测报告、用户意见、查新报告、专利、专著、论文、标准、软件著作权、获奖证书、转让合同、应用证明、国家法律法规要求的行业审批文件；涉及环境污染和劳动安全等问题的科技成果，需出具专门检测机构的检测报告或证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受理。委托方向评价主体提出成果评价需求申请，并提交相关评价资料；评价主体应对委托方提交的资料进行形式审查，判断能否承担评价任务，判断评价委托方提出的材料是否达到开展评价活动的要求。评价资料不齐全的，委托方应进行补正。申请材料齐全且具有相符性，或者申请人按照要求提交全部补正申请材料并符合要求的，评价主体予以受理。对涉及国家秘密的、危害国家安全的、对社会公共利益或者环境和资源造成危害的项目，不受理评价申请。材料审查通过后，评价主体应与委托方签订科技成果评价咨询服务合同，约定有关评价的要求、完成时间和费用等事项。</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组织评价。评价主体接受评价委托后，根据评价类型、评价目的、评价依据、评价范围、成果特点、评价时限要求等制定评价方案。由评价主体根据具体情况，聘请5名（含5名）以上单数专家组成评价咨询专家组，评价咨询专家组应由技术、经济（财务）或管理等行业专家合理组成。成果评价一般以会议形式评价，由相关领域评价咨询专家组成评价专家组，经过质询答辩、充分讨论后作出评价结论。会议评价根据需要确定是否进行现场考察、测试。评价咨询专家通过书面函审或网络平台审查有关技术资料，对科技成果作出评价。不需要进行现场考察、测试和答辩即可作出评价的科技成果，可采用通讯评价形式。评价咨询专家组应根据各位专家的量化评分结果，经过讨论，确定被评价科技成果的总体水平，形成评价结论。评价结论必须经评价咨询专家组四分之三以上多数通过。评价结论中慎用“国际领先”“国际先进”“国内领先”“国内首创”“国内先进”“填补空白”等抽象用语。评价咨询专家组组长在综合所有专家意见的基础上，完成综合评价结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szCs w:val="32"/>
        </w:rPr>
      </w:pPr>
      <w:r>
        <w:rPr>
          <w:rFonts w:hint="eastAsia" w:eastAsia="黑体"/>
          <w:sz w:val="32"/>
          <w:szCs w:val="32"/>
        </w:rPr>
        <w:t>六</w:t>
      </w:r>
      <w:r>
        <w:rPr>
          <w:rFonts w:eastAsia="黑体"/>
          <w:sz w:val="32"/>
          <w:szCs w:val="32"/>
        </w:rPr>
        <w:t>、与相关法律法规和标准的关系</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本标准不违反相关法律法规及强制性标准，存在相关国家标准，不存在行业标准，也没有相关地方标准。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参考和引用标准有：GB/T 33450 科技成果转化为标准指南、GB/T 40147科技评估通则、GB/T 40148科技评估基本术语。相关国家标准有《农业科技成果评价技术规范（GB/T 32225-2015）》。</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szCs w:val="32"/>
        </w:rPr>
      </w:pPr>
      <w:r>
        <w:rPr>
          <w:rFonts w:hint="eastAsia" w:eastAsia="黑体"/>
          <w:sz w:val="32"/>
          <w:szCs w:val="32"/>
        </w:rPr>
        <w:t>六、</w:t>
      </w:r>
      <w:r>
        <w:rPr>
          <w:rFonts w:eastAsia="黑体"/>
          <w:sz w:val="32"/>
          <w:szCs w:val="32"/>
        </w:rPr>
        <w:t>实施标准的措施和建议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本文件在科技成果评价主体、科技成果研发主体（高校院所、推广部门、企业等新型经营主体）、投资主体、应用主体、科技资源支配机构以及科技金融机构推广应用。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召开标准发布会、宣讲会，推荐本标准，同时通过网络、媒体等多渠道进行宣传。</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4MzRiMDQ0NGVlYjZjZmJjMzMwZDQwZGYzYjE5NmQifQ=="/>
  </w:docVars>
  <w:rsids>
    <w:rsidRoot w:val="005845AC"/>
    <w:rsid w:val="00125665"/>
    <w:rsid w:val="00163897"/>
    <w:rsid w:val="001D6455"/>
    <w:rsid w:val="002647FE"/>
    <w:rsid w:val="00406492"/>
    <w:rsid w:val="00445700"/>
    <w:rsid w:val="0047122E"/>
    <w:rsid w:val="004926E5"/>
    <w:rsid w:val="00497604"/>
    <w:rsid w:val="005845AC"/>
    <w:rsid w:val="005D3049"/>
    <w:rsid w:val="006A5FF8"/>
    <w:rsid w:val="006D58B5"/>
    <w:rsid w:val="00723E0B"/>
    <w:rsid w:val="00775648"/>
    <w:rsid w:val="00793121"/>
    <w:rsid w:val="0089166C"/>
    <w:rsid w:val="00A65F3F"/>
    <w:rsid w:val="00AD5554"/>
    <w:rsid w:val="00B60C21"/>
    <w:rsid w:val="00BE6303"/>
    <w:rsid w:val="00C26800"/>
    <w:rsid w:val="00C817D2"/>
    <w:rsid w:val="00D90DC7"/>
    <w:rsid w:val="00E47BD0"/>
    <w:rsid w:val="00EA5D0F"/>
    <w:rsid w:val="00EB52C6"/>
    <w:rsid w:val="00F8123A"/>
    <w:rsid w:val="00FC6163"/>
    <w:rsid w:val="00FE25C2"/>
    <w:rsid w:val="2DF45312"/>
    <w:rsid w:val="31600660"/>
    <w:rsid w:val="77E87E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9">
    <w:name w:val="页眉 字符"/>
    <w:basedOn w:val="6"/>
    <w:link w:val="3"/>
    <w:semiHidden/>
    <w:uiPriority w:val="99"/>
    <w:rPr>
      <w:rFonts w:ascii="Calibri" w:hAnsi="Calibri" w:eastAsia="宋体" w:cs="Times New Roman"/>
      <w:sz w:val="18"/>
      <w:szCs w:val="18"/>
    </w:rPr>
  </w:style>
  <w:style w:type="character" w:customStyle="1" w:styleId="10">
    <w:name w:val="页脚 字符"/>
    <w:basedOn w:val="6"/>
    <w:link w:val="2"/>
    <w:semiHidden/>
    <w:uiPriority w:val="99"/>
    <w:rPr>
      <w:rFonts w:ascii="Calibri" w:hAnsi="Calibri" w:eastAsia="宋体" w:cs="Times New Roman"/>
      <w:sz w:val="18"/>
      <w:szCs w:val="18"/>
    </w:rPr>
  </w:style>
  <w:style w:type="paragraph" w:customStyle="1" w:styleId="11">
    <w:name w:val="标准文件_二级条标题"/>
    <w:next w:val="1"/>
    <w:qFormat/>
    <w:uiPriority w:val="0"/>
    <w:pPr>
      <w:widowControl w:val="0"/>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2">
    <w:name w:val="标准文件_三级条标题"/>
    <w:basedOn w:val="11"/>
    <w:next w:val="1"/>
    <w:uiPriority w:val="0"/>
    <w:pPr>
      <w:widowControl/>
      <w:outlineLvl w:val="3"/>
    </w:pPr>
  </w:style>
  <w:style w:type="paragraph" w:customStyle="1" w:styleId="13">
    <w:name w:val="标准文件_四级条标题"/>
    <w:next w:val="1"/>
    <w:uiPriority w:val="0"/>
    <w:pPr>
      <w:widowControl w:val="0"/>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4">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5">
    <w:name w:val="标准文件_章标题"/>
    <w:next w:val="1"/>
    <w:uiPriority w:val="0"/>
    <w:p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6">
    <w:name w:val="标准文件_一级条标题"/>
    <w:basedOn w:val="15"/>
    <w:next w:val="1"/>
    <w:qFormat/>
    <w:uiPriority w:val="0"/>
    <w:pPr>
      <w:spacing w:before="50" w:beforeLines="50" w:after="50" w:afterLines="50"/>
      <w:outlineLvl w:val="1"/>
    </w:pPr>
  </w:style>
  <w:style w:type="paragraph" w:customStyle="1" w:styleId="17">
    <w:name w:val="前言标题"/>
    <w:next w:val="1"/>
    <w:uiPriority w:val="0"/>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styleId="18">
    <w:name w:val="List Paragraph"/>
    <w:basedOn w:val="1"/>
    <w:qFormat/>
    <w:uiPriority w:val="34"/>
    <w:pPr>
      <w:ind w:firstLine="420" w:firstLineChars="200"/>
    </w:pPr>
  </w:style>
  <w:style w:type="paragraph" w:customStyle="1" w:styleId="19">
    <w:name w:val="标准文件_参考文献条目"/>
    <w:qFormat/>
    <w:uiPriority w:val="0"/>
    <w:pPr>
      <w:tabs>
        <w:tab w:val="left" w:pos="1646"/>
      </w:tabs>
      <w:ind w:left="1646" w:hanging="648"/>
    </w:pPr>
    <w:rPr>
      <w:rFonts w:ascii="宋体" w:hAnsi="Times New Roman" w:eastAsia="宋体" w:cs="Times New Roman"/>
      <w:kern w:val="0"/>
      <w:sz w:val="20"/>
      <w:szCs w:val="20"/>
      <w:lang w:val="en-US" w:eastAsia="zh-CN" w:bidi="ar-SA"/>
    </w:rPr>
  </w:style>
  <w:style w:type="paragraph" w:customStyle="1" w:styleId="20">
    <w:name w:val="四级条标题"/>
    <w:basedOn w:val="1"/>
    <w:next w:val="1"/>
    <w:uiPriority w:val="0"/>
    <w:pPr>
      <w:widowControl/>
      <w:outlineLvl w:val="5"/>
    </w:pPr>
    <w:rPr>
      <w:rFonts w:ascii="黑体" w:hAnsi="Times New Roman" w:eastAsia="黑体"/>
      <w:kern w:val="0"/>
      <w:szCs w:val="20"/>
    </w:rPr>
  </w:style>
  <w:style w:type="paragraph" w:customStyle="1" w:styleId="21">
    <w:name w:val="段"/>
    <w:link w:val="22"/>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2">
    <w:name w:val="段 Char"/>
    <w:link w:val="21"/>
    <w:locked/>
    <w:uiPriority w:val="0"/>
    <w:rPr>
      <w:rFonts w:ascii="宋体" w:hAnsi="Times New Roman" w:eastAsia="宋体" w:cs="Times New Roman"/>
      <w:kern w:val="0"/>
      <w:szCs w:val="20"/>
    </w:rPr>
  </w:style>
  <w:style w:type="paragraph" w:customStyle="1" w:styleId="23">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10</Pages>
  <Words>6128</Words>
  <Characters>6420</Characters>
  <Lines>47</Lines>
  <Paragraphs>13</Paragraphs>
  <TotalTime>303</TotalTime>
  <ScaleCrop>false</ScaleCrop>
  <LinksUpToDate>false</LinksUpToDate>
  <CharactersWithSpaces>6452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2022-08-23T07:20:00Z</dcterms:created>
  <dc:creator>China</dc:creator>
  <cp:lastModifiedBy>时光依旧</cp:lastModifiedBy>
  <dcterms:modified xsi:type="dcterms:W3CDTF">2024-01-30T08:16:07Z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21739970C5A64C34A933CC84A866BF6D_12</vt:lpwstr>
  </property>
</Properties>
</file>