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03.220.20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R 12</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framePr/>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3206/T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2023</w:t>
      </w:r>
      <w:r>
        <w:fldChar w:fldCharType="end"/>
      </w:r>
      <w:bookmarkEnd w:id="7"/>
    </w:p>
    <w:p>
      <w:pPr>
        <w:pStyle w:val="196"/>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道路货物装载源头单位超限超载安全管理规范</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 xml:space="preserve">Safety management specification </w:t>
      </w:r>
    </w:p>
    <w:p>
      <w:pPr>
        <w:pStyle w:val="125"/>
        <w:framePr w:w="9639" w:h="6974" w:hRule="exact" w:wrap="around" w:vAnchor="page" w:hAnchor="page" w:x="1419" w:y="6408" w:anchorLock="1"/>
        <w:textAlignment w:val="bottom"/>
        <w:rPr>
          <w:rFonts w:eastAsia="黑体"/>
          <w:szCs w:val="28"/>
        </w:rPr>
      </w:pPr>
      <w:r>
        <w:rPr>
          <w:rFonts w:eastAsia="黑体"/>
          <w:szCs w:val="28"/>
        </w:rPr>
        <w:t>for overrun and overload of road cargo loading source enterprise</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hint="eastAsia"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南通市市场监督管理局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468"/>
      </w:pPr>
      <w:bookmarkStart w:id="21" w:name="BookMark1"/>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"_Toc135404377" </w:instrText>
      </w:r>
      <w:r>
        <w:fldChar w:fldCharType="separate"/>
      </w:r>
      <w:r>
        <w:rPr>
          <w:rStyle w:val="32"/>
        </w:rPr>
        <w:t>前言</w:t>
      </w:r>
      <w:r>
        <w:tab/>
      </w:r>
      <w:r>
        <w:fldChar w:fldCharType="begin"/>
      </w:r>
      <w:r>
        <w:instrText xml:space="preserve"> PAGEREF _Toc135404377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"_Toc135404378" </w:instrText>
      </w:r>
      <w:r>
        <w:fldChar w:fldCharType="separate"/>
      </w:r>
      <w:r>
        <w:rPr>
          <w:rStyle w:val="32"/>
        </w:rPr>
        <w:t>1  范围</w:t>
      </w:r>
      <w:r>
        <w:tab/>
      </w:r>
      <w:r>
        <w:fldChar w:fldCharType="begin"/>
      </w:r>
      <w:r>
        <w:instrText xml:space="preserve"> PAGEREF _Toc135404378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"_Toc135404379" </w:instrText>
      </w:r>
      <w:r>
        <w:fldChar w:fldCharType="separate"/>
      </w:r>
      <w:r>
        <w:rPr>
          <w:rStyle w:val="32"/>
        </w:rPr>
        <w:t>2  规范性引用文件</w:t>
      </w:r>
      <w:r>
        <w:tab/>
      </w:r>
      <w:r>
        <w:fldChar w:fldCharType="begin"/>
      </w:r>
      <w:r>
        <w:instrText xml:space="preserve"> PAGEREF _Toc135404379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"_Toc135404380" </w:instrText>
      </w:r>
      <w:r>
        <w:fldChar w:fldCharType="separate"/>
      </w:r>
      <w:r>
        <w:rPr>
          <w:rStyle w:val="32"/>
        </w:rPr>
        <w:t>3  术语和定义</w:t>
      </w:r>
      <w:r>
        <w:tab/>
      </w:r>
      <w:r>
        <w:fldChar w:fldCharType="begin"/>
      </w:r>
      <w:r>
        <w:instrText xml:space="preserve"> PAGEREF _Toc135404380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"_Toc135404381" </w:instrText>
      </w:r>
      <w:r>
        <w:fldChar w:fldCharType="separate"/>
      </w:r>
      <w:r>
        <w:rPr>
          <w:rStyle w:val="32"/>
        </w:rPr>
        <w:t>4  一般规定</w:t>
      </w:r>
      <w:r>
        <w:tab/>
      </w:r>
      <w:r>
        <w:fldChar w:fldCharType="begin"/>
      </w:r>
      <w:r>
        <w:instrText xml:space="preserve"> PAGEREF _Toc135404381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"_Toc135404382" </w:instrText>
      </w:r>
      <w:r>
        <w:fldChar w:fldCharType="separate"/>
      </w:r>
      <w:r>
        <w:rPr>
          <w:rStyle w:val="32"/>
          <w14:scene3d w14:prst="orthographicFront">
            <w14:lightRig w14:rig="threePt" w14:dir="t">
              <w14:rot w14:lat="0" w14:lon="0" w14:rev="0"/>
            </w14:lightRig>
          </w14:scene3d>
        </w:rPr>
        <w:t xml:space="preserve">4.1 </w:t>
      </w:r>
      <w:r>
        <w:rPr>
          <w:rStyle w:val="32"/>
        </w:rPr>
        <w:t xml:space="preserve"> 车辆</w:t>
      </w:r>
      <w:r>
        <w:tab/>
      </w:r>
      <w:r>
        <w:fldChar w:fldCharType="begin"/>
      </w:r>
      <w:r>
        <w:instrText xml:space="preserve"> PAGEREF _Toc135404382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"_Toc135404383" </w:instrText>
      </w:r>
      <w:r>
        <w:fldChar w:fldCharType="separate"/>
      </w:r>
      <w:r>
        <w:rPr>
          <w:rStyle w:val="32"/>
          <w14:scene3d w14:prst="orthographicFront">
            <w14:lightRig w14:rig="threePt" w14:dir="t">
              <w14:rot w14:lat="0" w14:lon="0" w14:rev="0"/>
            </w14:lightRig>
          </w14:scene3d>
        </w:rPr>
        <w:t xml:space="preserve">4.2 </w:t>
      </w:r>
      <w:r>
        <w:rPr>
          <w:rStyle w:val="32"/>
        </w:rPr>
        <w:t xml:space="preserve"> 人员</w:t>
      </w:r>
      <w:r>
        <w:tab/>
      </w:r>
      <w:r>
        <w:fldChar w:fldCharType="begin"/>
      </w:r>
      <w:r>
        <w:instrText xml:space="preserve"> PAGEREF _Toc135404383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"_Toc135404384" </w:instrText>
      </w:r>
      <w:r>
        <w:fldChar w:fldCharType="separate"/>
      </w:r>
      <w:r>
        <w:rPr>
          <w:rStyle w:val="32"/>
          <w14:scene3d w14:prst="orthographicFront">
            <w14:lightRig w14:rig="threePt" w14:dir="t">
              <w14:rot w14:lat="0" w14:lon="0" w14:rev="0"/>
            </w14:lightRig>
          </w14:scene3d>
        </w:rPr>
        <w:t xml:space="preserve">4.3 </w:t>
      </w:r>
      <w:r>
        <w:rPr>
          <w:rStyle w:val="32"/>
        </w:rPr>
        <w:t xml:space="preserve"> 运单</w:t>
      </w:r>
      <w:r>
        <w:tab/>
      </w:r>
      <w:r>
        <w:fldChar w:fldCharType="begin"/>
      </w:r>
      <w:r>
        <w:instrText xml:space="preserve"> PAGEREF _Toc135404384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"_Toc135404385" </w:instrText>
      </w:r>
      <w:r>
        <w:fldChar w:fldCharType="separate"/>
      </w:r>
      <w:r>
        <w:rPr>
          <w:rStyle w:val="32"/>
          <w14:scene3d w14:prst="orthographicFront">
            <w14:lightRig w14:rig="threePt" w14:dir="t">
              <w14:rot w14:lat="0" w14:lon="0" w14:rev="0"/>
            </w14:lightRig>
          </w14:scene3d>
        </w:rPr>
        <w:t xml:space="preserve">4.4 </w:t>
      </w:r>
      <w:r>
        <w:rPr>
          <w:rStyle w:val="32"/>
        </w:rPr>
        <w:t xml:space="preserve"> 制度</w:t>
      </w:r>
      <w:r>
        <w:tab/>
      </w:r>
      <w:r>
        <w:fldChar w:fldCharType="begin"/>
      </w:r>
      <w:r>
        <w:instrText xml:space="preserve"> PAGEREF _Toc135404385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"_Toc135404386" </w:instrText>
      </w:r>
      <w:r>
        <w:fldChar w:fldCharType="separate"/>
      </w:r>
      <w:r>
        <w:rPr>
          <w:rStyle w:val="32"/>
        </w:rPr>
        <w:t>5  特殊规定</w:t>
      </w:r>
      <w:r>
        <w:tab/>
      </w:r>
      <w:r>
        <w:fldChar w:fldCharType="begin"/>
      </w:r>
      <w:r>
        <w:instrText xml:space="preserve"> PAGEREF _Toc135404386 \h </w:instrText>
      </w:r>
      <w:r>
        <w:fldChar w:fldCharType="separate"/>
      </w:r>
      <w:r>
        <w:t>3</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"_Toc135404387" </w:instrText>
      </w:r>
      <w:r>
        <w:fldChar w:fldCharType="separate"/>
      </w:r>
      <w:r>
        <w:rPr>
          <w:rStyle w:val="32"/>
          <w14:scene3d w14:prst="orthographicFront">
            <w14:lightRig w14:rig="threePt" w14:dir="t">
              <w14:rot w14:lat="0" w14:lon="0" w14:rev="0"/>
            </w14:lightRig>
          </w14:scene3d>
        </w:rPr>
        <w:t xml:space="preserve">5.1 </w:t>
      </w:r>
      <w:r>
        <w:rPr>
          <w:rStyle w:val="32"/>
        </w:rPr>
        <w:t xml:space="preserve"> 大件运输</w:t>
      </w:r>
      <w:r>
        <w:tab/>
      </w:r>
      <w:r>
        <w:fldChar w:fldCharType="begin"/>
      </w:r>
      <w:r>
        <w:instrText xml:space="preserve"> PAGEREF _Toc135404387 \h </w:instrText>
      </w:r>
      <w:r>
        <w:fldChar w:fldCharType="separate"/>
      </w:r>
      <w:r>
        <w:t>3</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"_Toc135404388" </w:instrText>
      </w:r>
      <w:r>
        <w:fldChar w:fldCharType="separate"/>
      </w:r>
      <w:r>
        <w:rPr>
          <w:rStyle w:val="32"/>
          <w14:scene3d w14:prst="orthographicFront">
            <w14:lightRig w14:rig="threePt" w14:dir="t">
              <w14:rot w14:lat="0" w14:lon="0" w14:rev="0"/>
            </w14:lightRig>
          </w14:scene3d>
        </w:rPr>
        <w:t xml:space="preserve">5.2 </w:t>
      </w:r>
      <w:r>
        <w:rPr>
          <w:rStyle w:val="32"/>
        </w:rPr>
        <w:t xml:space="preserve"> 称重监控</w:t>
      </w:r>
      <w:r>
        <w:tab/>
      </w:r>
      <w:r>
        <w:fldChar w:fldCharType="begin"/>
      </w:r>
      <w:r>
        <w:instrText xml:space="preserve"> PAGEREF _Toc135404388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"_Toc135404389" </w:instrText>
      </w:r>
      <w:r>
        <w:fldChar w:fldCharType="separate"/>
      </w:r>
      <w:r>
        <w:rPr>
          <w:rStyle w:val="32"/>
        </w:rPr>
        <w:t>6  资料</w:t>
      </w:r>
      <w:r>
        <w:tab/>
      </w:r>
      <w:r>
        <w:fldChar w:fldCharType="begin"/>
      </w:r>
      <w:r>
        <w:instrText xml:space="preserve"> PAGEREF _Toc135404389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"_Toc135404390" </w:instrText>
      </w:r>
      <w:r>
        <w:fldChar w:fldCharType="separate"/>
      </w:r>
      <w:r>
        <w:rPr>
          <w:rStyle w:val="32"/>
        </w:rPr>
        <w:t>附录A（规范性）  公路货运车辆超限超载认定标准</w:t>
      </w:r>
      <w:r>
        <w:tab/>
      </w:r>
      <w:r>
        <w:fldChar w:fldCharType="begin"/>
      </w:r>
      <w:r>
        <w:instrText xml:space="preserve"> PAGEREF _Toc135404390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"_Toc135404391" </w:instrText>
      </w:r>
      <w:r>
        <w:fldChar w:fldCharType="separate"/>
      </w:r>
      <w:r>
        <w:rPr>
          <w:rStyle w:val="32"/>
        </w:rPr>
        <w:t>附录B（资料性）  江苏省道路货运运单</w:t>
      </w:r>
      <w:r>
        <w:tab/>
      </w:r>
      <w:r>
        <w:fldChar w:fldCharType="begin"/>
      </w:r>
      <w:r>
        <w:instrText xml:space="preserve"> PAGEREF _Toc135404391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"_Toc135404392" </w:instrText>
      </w:r>
      <w:r>
        <w:fldChar w:fldCharType="separate"/>
      </w:r>
      <w:r>
        <w:rPr>
          <w:rStyle w:val="32"/>
        </w:rPr>
        <w:t>附录C（资料性）  大型不可解体物品调运单</w:t>
      </w:r>
      <w:r>
        <w:tab/>
      </w:r>
      <w:r>
        <w:fldChar w:fldCharType="begin"/>
      </w:r>
      <w:r>
        <w:instrText xml:space="preserve"> PAGEREF _Toc135404392 \h </w:instrText>
      </w:r>
      <w:r>
        <w:fldChar w:fldCharType="separate"/>
      </w:r>
      <w:r>
        <w:t>6</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"_Toc135404393" </w:instrText>
      </w:r>
      <w:r>
        <w:fldChar w:fldCharType="separate"/>
      </w:r>
      <w:r>
        <w:rPr>
          <w:rStyle w:val="32"/>
        </w:rPr>
        <w:t>附录D（资料性）  江苏省道路货运运单（大型不可解体物品）</w:t>
      </w:r>
      <w:r>
        <w:tab/>
      </w:r>
      <w:r>
        <w:fldChar w:fldCharType="begin"/>
      </w:r>
      <w:r>
        <w:instrText xml:space="preserve"> PAGEREF _Toc135404393 \h </w:instrText>
      </w:r>
      <w:r>
        <w:fldChar w:fldCharType="separate"/>
      </w:r>
      <w:r>
        <w:t>7</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"_Toc135404394" </w:instrText>
      </w:r>
      <w:r>
        <w:fldChar w:fldCharType="separate"/>
      </w:r>
      <w:r>
        <w:rPr>
          <w:rStyle w:val="32"/>
        </w:rPr>
        <w:t>附录E（资料性）  超限运输车辆通行证</w:t>
      </w:r>
      <w:r>
        <w:tab/>
      </w:r>
      <w:r>
        <w:fldChar w:fldCharType="begin"/>
      </w:r>
      <w:r>
        <w:instrText xml:space="preserve"> PAGEREF _Toc135404394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"_Toc135404395" </w:instrText>
      </w:r>
      <w:r>
        <w:fldChar w:fldCharType="separate"/>
      </w:r>
      <w:r>
        <w:rPr>
          <w:rStyle w:val="32"/>
        </w:rPr>
        <w:t>附录F（资料性）  安全管理工作会议学习台账</w:t>
      </w:r>
      <w:r>
        <w:tab/>
      </w:r>
      <w:r>
        <w:fldChar w:fldCharType="begin"/>
      </w:r>
      <w:r>
        <w:instrText xml:space="preserve"> PAGEREF _Toc135404395 \h </w:instrText>
      </w:r>
      <w:r>
        <w:fldChar w:fldCharType="separate"/>
      </w:r>
      <w:r>
        <w:t>9</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"_Toc135404396" </w:instrText>
      </w:r>
      <w:r>
        <w:fldChar w:fldCharType="separate"/>
      </w:r>
      <w:r>
        <w:rPr>
          <w:rStyle w:val="32"/>
        </w:rPr>
        <w:t>附录G（资料性）  安全检查台账</w:t>
      </w:r>
      <w:r>
        <w:tab/>
      </w:r>
      <w:r>
        <w:fldChar w:fldCharType="begin"/>
      </w:r>
      <w:r>
        <w:instrText xml:space="preserve"> PAGEREF _Toc135404396 \h </w:instrText>
      </w:r>
      <w:r>
        <w:fldChar w:fldCharType="separate"/>
      </w:r>
      <w:r>
        <w:t>10</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"_Toc135404397" </w:instrText>
      </w:r>
      <w:r>
        <w:fldChar w:fldCharType="separate"/>
      </w:r>
      <w:r>
        <w:rPr>
          <w:rStyle w:val="32"/>
        </w:rPr>
        <w:t>附录H（资料性）  安全隐患整改台账</w:t>
      </w:r>
      <w:r>
        <w:tab/>
      </w:r>
      <w:r>
        <w:fldChar w:fldCharType="begin"/>
      </w:r>
      <w:r>
        <w:instrText xml:space="preserve"> PAGEREF _Toc135404397 \h </w:instrText>
      </w:r>
      <w:r>
        <w:fldChar w:fldCharType="separate"/>
      </w:r>
      <w:r>
        <w:t>11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"_Toc135404398" </w:instrText>
      </w:r>
      <w:r>
        <w:fldChar w:fldCharType="separate"/>
      </w:r>
      <w:r>
        <w:rPr>
          <w:rStyle w:val="32"/>
        </w:rPr>
        <w:t>附录I（资料性）  货运车辆进出场（站）台账</w:t>
      </w:r>
      <w:r>
        <w:tab/>
      </w:r>
      <w:r>
        <w:fldChar w:fldCharType="begin"/>
      </w:r>
      <w:r>
        <w:instrText xml:space="preserve"> PAGEREF _Toc135404398 \h </w:instrText>
      </w:r>
      <w:r>
        <w:fldChar w:fldCharType="separate"/>
      </w:r>
      <w:r>
        <w:t>12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"_Toc135404399" </w:instrText>
      </w:r>
      <w:r>
        <w:fldChar w:fldCharType="separate"/>
      </w:r>
      <w:r>
        <w:rPr>
          <w:rStyle w:val="32"/>
        </w:rPr>
        <w:t>附录J（资料性）  超限运输车辆通行证登记台账</w:t>
      </w:r>
      <w:r>
        <w:tab/>
      </w:r>
      <w:r>
        <w:fldChar w:fldCharType="begin"/>
      </w:r>
      <w:r>
        <w:instrText xml:space="preserve"> PAGEREF _Toc135404399 \h </w:instrText>
      </w:r>
      <w:r>
        <w:fldChar w:fldCharType="separate"/>
      </w:r>
      <w:r>
        <w:t>13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"_Toc135404400" </w:instrText>
      </w:r>
      <w:r>
        <w:fldChar w:fldCharType="separate"/>
      </w:r>
      <w:r>
        <w:rPr>
          <w:rStyle w:val="32"/>
        </w:rPr>
        <w:t>附录K（资料性）  超限超载车辆处置台账</w:t>
      </w:r>
      <w:r>
        <w:tab/>
      </w:r>
      <w:r>
        <w:fldChar w:fldCharType="begin"/>
      </w:r>
      <w:r>
        <w:instrText xml:space="preserve"> PAGEREF _Toc135404400 \h </w:instrText>
      </w:r>
      <w:r>
        <w:fldChar w:fldCharType="separate"/>
      </w:r>
      <w:r>
        <w:t>14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"_Toc135404401" </w:instrText>
      </w:r>
      <w:r>
        <w:fldChar w:fldCharType="separate"/>
      </w:r>
      <w:r>
        <w:rPr>
          <w:rStyle w:val="32"/>
        </w:rPr>
        <w:t>附录L（资料性）  称重监控设施定期计量检定表</w:t>
      </w:r>
      <w:r>
        <w:tab/>
      </w:r>
      <w:r>
        <w:fldChar w:fldCharType="begin"/>
      </w:r>
      <w:r>
        <w:instrText xml:space="preserve"> PAGEREF _Toc135404401 \h </w:instrText>
      </w:r>
      <w:r>
        <w:fldChar w:fldCharType="separate"/>
      </w:r>
      <w:r>
        <w:t>15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"_Toc135404402" </w:instrText>
      </w:r>
      <w:r>
        <w:fldChar w:fldCharType="separate"/>
      </w:r>
      <w:r>
        <w:rPr>
          <w:rStyle w:val="32"/>
        </w:rPr>
        <w:t>附录M（资料性）  称重监控设施运行异常报备及维修记录表</w:t>
      </w:r>
      <w:r>
        <w:tab/>
      </w:r>
      <w:r>
        <w:fldChar w:fldCharType="begin"/>
      </w:r>
      <w:r>
        <w:instrText xml:space="preserve"> PAGEREF _Toc135404402 \h </w:instrText>
      </w:r>
      <w:r>
        <w:fldChar w:fldCharType="separate"/>
      </w:r>
      <w:r>
        <w:t>16</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"_Toc135404403" </w:instrText>
      </w:r>
      <w:r>
        <w:fldChar w:fldCharType="separate"/>
      </w:r>
      <w:r>
        <w:rPr>
          <w:rStyle w:val="32"/>
        </w:rPr>
        <w:t>参考文献</w:t>
      </w:r>
      <w:r>
        <w:tab/>
      </w:r>
      <w:r>
        <w:fldChar w:fldCharType="begin"/>
      </w:r>
      <w:r>
        <w:instrText xml:space="preserve"> PAGEREF _Toc135404403 \h </w:instrText>
      </w:r>
      <w:r>
        <w:fldChar w:fldCharType="separate"/>
      </w:r>
      <w:r>
        <w:t>17</w:t>
      </w:r>
      <w:r>
        <w:fldChar w:fldCharType="end"/>
      </w:r>
      <w:r>
        <w:fldChar w:fldCharType="end"/>
      </w:r>
    </w:p>
    <w:p>
      <w:pPr>
        <w:pStyle w:val="91"/>
        <w:spacing w:after="468"/>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before="900" w:after="468"/>
      </w:pPr>
      <w:bookmarkStart w:id="22" w:name="_Toc135404377"/>
      <w:bookmarkStart w:id="23" w:name="BookMark2"/>
      <w:r>
        <w:rPr>
          <w:spacing w:val="320"/>
        </w:rPr>
        <w:t>前</w:t>
      </w:r>
      <w:r>
        <w:t>言</w:t>
      </w:r>
      <w:bookmarkEnd w:id="22"/>
    </w:p>
    <w:p>
      <w:pPr>
        <w:pStyle w:val="56"/>
        <w:ind w:firstLine="420"/>
      </w:pPr>
      <w:r>
        <w:rPr>
          <w:rFonts w:hint="eastAsia"/>
        </w:rPr>
        <w:t>本文件按照GB/T 1.1—2020《标准化工作导则  第1部分：标准化文件的结构和起草规则》的规定起草。</w:t>
      </w:r>
    </w:p>
    <w:p>
      <w:pPr>
        <w:pStyle w:val="56"/>
        <w:ind w:firstLine="420"/>
      </w:pPr>
      <w:r>
        <w:rPr>
          <w:rFonts w:hint="eastAsia"/>
        </w:rPr>
        <w:t>本文件由南通市交通运输综合行政执法支队提出。</w:t>
      </w:r>
    </w:p>
    <w:p>
      <w:pPr>
        <w:pStyle w:val="56"/>
        <w:ind w:firstLine="420"/>
      </w:pPr>
      <w:r>
        <w:rPr>
          <w:rFonts w:hint="eastAsia"/>
        </w:rPr>
        <w:t>本文件由南通市交通运输局归口。</w:t>
      </w:r>
    </w:p>
    <w:p>
      <w:pPr>
        <w:pStyle w:val="56"/>
        <w:ind w:firstLine="420"/>
      </w:pPr>
      <w:r>
        <w:rPr>
          <w:rFonts w:hint="eastAsia"/>
        </w:rPr>
        <w:t>本文件起草单位：南通市交通运输综合行政执法支队、江苏长天智远交通科技有限公司。</w:t>
      </w:r>
    </w:p>
    <w:p>
      <w:pPr>
        <w:pStyle w:val="56"/>
        <w:ind w:firstLine="420"/>
      </w:pPr>
      <w:r>
        <w:rPr>
          <w:rFonts w:hint="eastAsia"/>
        </w:rPr>
        <w:t>本文件主要起草人：季祥、钱超、倪祥宝、朱华、刘宇婷、黄晶、刘锡华、陈波、苏红、王珂。</w:t>
      </w:r>
    </w:p>
    <w:p>
      <w:pPr>
        <w:pStyle w:val="56"/>
        <w:ind w:firstLine="420"/>
      </w:pPr>
      <w:r>
        <w:rPr>
          <w:rFonts w:hint="eastAsia"/>
        </w:rPr>
        <w:t>本文件为首次发布。</w:t>
      </w:r>
    </w:p>
    <w:p>
      <w:pPr>
        <w:pStyle w:val="56"/>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F0200D1FE43848FE93997B1742F7B256"/>
        </w:placeholder>
      </w:sdtPr>
      <w:sdtContent>
        <w:p>
          <w:pPr>
            <w:pStyle w:val="177"/>
            <w:spacing w:before="312" w:beforeLines="100" w:after="686" w:afterLines="220"/>
          </w:pPr>
          <w:bookmarkStart w:id="25" w:name="NEW_STAND_NAME"/>
          <w:r>
            <w:rPr>
              <w:rFonts w:hint="eastAsia"/>
            </w:rPr>
            <w:t>道路货物装载源头单位超限超载安全管理规范</w:t>
          </w:r>
        </w:p>
      </w:sdtContent>
    </w:sdt>
    <w:bookmarkEnd w:id="25"/>
    <w:p>
      <w:pPr>
        <w:pStyle w:val="104"/>
        <w:spacing w:before="312" w:after="312"/>
      </w:pPr>
      <w:bookmarkStart w:id="26" w:name="_Toc134175263"/>
      <w:bookmarkStart w:id="27" w:name="_Toc134175463"/>
      <w:bookmarkStart w:id="28" w:name="_Toc134194743"/>
      <w:bookmarkStart w:id="29" w:name="_Toc134175144"/>
      <w:bookmarkStart w:id="30" w:name="_Toc134175650"/>
      <w:bookmarkStart w:id="31" w:name="_Toc135404378"/>
      <w:bookmarkStart w:id="32" w:name="_Toc134093489"/>
      <w:bookmarkStart w:id="33" w:name="_Toc134174272"/>
      <w:bookmarkStart w:id="34" w:name="_Toc26718930"/>
      <w:bookmarkStart w:id="35" w:name="_Toc26986771"/>
      <w:bookmarkStart w:id="36" w:name="_Toc17233333"/>
      <w:bookmarkStart w:id="37" w:name="_Toc134195220"/>
      <w:bookmarkStart w:id="38" w:name="_Toc134186360"/>
      <w:bookmarkStart w:id="39" w:name="_Toc24884211"/>
      <w:bookmarkStart w:id="40" w:name="_Toc134112882"/>
      <w:bookmarkStart w:id="41" w:name="_Toc17233325"/>
      <w:bookmarkStart w:id="42" w:name="_Toc134112263"/>
      <w:bookmarkStart w:id="43" w:name="_Toc26648465"/>
      <w:bookmarkStart w:id="44" w:name="_Toc97191423"/>
      <w:bookmarkStart w:id="45" w:name="_Toc26986530"/>
      <w:bookmarkStart w:id="46" w:name="_Toc24884218"/>
      <w:r>
        <w:rPr>
          <w:rFonts w:hint="eastAsia"/>
        </w:rPr>
        <w:t>范围</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Style w:val="56"/>
        <w:ind w:firstLine="420"/>
      </w:pPr>
      <w:bookmarkStart w:id="47" w:name="_Toc26648466"/>
      <w:bookmarkStart w:id="48" w:name="_Toc17233326"/>
      <w:bookmarkStart w:id="49" w:name="_Toc24884212"/>
      <w:bookmarkStart w:id="50" w:name="_Toc24884219"/>
      <w:bookmarkStart w:id="51" w:name="_Toc17233334"/>
      <w:r>
        <w:rPr>
          <w:rFonts w:hint="eastAsia"/>
        </w:rPr>
        <w:t>本文件规定了道路货物装载源头单位超限超载安全管理的术语和定义、一般规定、特殊规定和资料管理要求。</w:t>
      </w:r>
    </w:p>
    <w:p>
      <w:pPr>
        <w:pStyle w:val="56"/>
        <w:ind w:firstLine="420"/>
      </w:pPr>
      <w:r>
        <w:rPr>
          <w:rFonts w:hint="eastAsia"/>
        </w:rPr>
        <w:t>本文件适用于货物装载源头单位超限超载安全管理。</w:t>
      </w:r>
    </w:p>
    <w:p>
      <w:pPr>
        <w:pStyle w:val="104"/>
        <w:spacing w:before="312" w:after="312"/>
      </w:pPr>
      <w:bookmarkStart w:id="52" w:name="_Toc134175264"/>
      <w:bookmarkStart w:id="53" w:name="_Toc134195221"/>
      <w:bookmarkStart w:id="54" w:name="_Toc97191424"/>
      <w:bookmarkStart w:id="55" w:name="_Toc26986531"/>
      <w:bookmarkStart w:id="56" w:name="_Toc134186361"/>
      <w:bookmarkStart w:id="57" w:name="_Toc134175145"/>
      <w:bookmarkStart w:id="58" w:name="_Toc26986772"/>
      <w:bookmarkStart w:id="59" w:name="_Toc134112264"/>
      <w:bookmarkStart w:id="60" w:name="_Toc134174273"/>
      <w:bookmarkStart w:id="61" w:name="_Toc134112883"/>
      <w:bookmarkStart w:id="62" w:name="_Toc134093490"/>
      <w:bookmarkStart w:id="63" w:name="_Toc135404379"/>
      <w:bookmarkStart w:id="64" w:name="_Toc134194744"/>
      <w:bookmarkStart w:id="65" w:name="_Toc26718931"/>
      <w:bookmarkStart w:id="66" w:name="_Toc134175464"/>
      <w:bookmarkStart w:id="67" w:name="_Toc134175651"/>
      <w:r>
        <w:rPr>
          <w:rFonts w:hint="eastAsia"/>
        </w:rPr>
        <w:t>规范性引用文件</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sdt>
      <w:sdtPr>
        <w:rPr>
          <w:rFonts w:hint="eastAsia"/>
        </w:rPr>
        <w:id w:val="715848253"/>
        <w:placeholder>
          <w:docPart w:val="EDB344AE9FEB486DAB8F102C4CD2E5A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GB 1589-2016 汽车、挂车及汽车列车外廓尺寸、轴荷及质量限值</w:t>
      </w:r>
    </w:p>
    <w:p>
      <w:pPr>
        <w:pStyle w:val="104"/>
        <w:spacing w:before="312" w:after="312"/>
      </w:pPr>
      <w:bookmarkStart w:id="68" w:name="_Toc97191425"/>
      <w:bookmarkStart w:id="69" w:name="_Toc134093491"/>
      <w:bookmarkStart w:id="70" w:name="_Toc134112265"/>
      <w:bookmarkStart w:id="71" w:name="_Toc134112884"/>
      <w:bookmarkStart w:id="72" w:name="_Toc134174274"/>
      <w:bookmarkStart w:id="73" w:name="_Toc134175146"/>
      <w:bookmarkStart w:id="74" w:name="_Toc134175265"/>
      <w:bookmarkStart w:id="75" w:name="_Toc134175465"/>
      <w:bookmarkStart w:id="76" w:name="_Toc134175652"/>
      <w:bookmarkStart w:id="77" w:name="_Toc134186362"/>
      <w:bookmarkStart w:id="78" w:name="_Toc134194745"/>
      <w:bookmarkStart w:id="79" w:name="_Toc134195222"/>
      <w:bookmarkStart w:id="80" w:name="_Toc135404380"/>
      <w:r>
        <w:rPr>
          <w:rFonts w:hint="eastAsia"/>
          <w:szCs w:val="21"/>
        </w:rPr>
        <w:t>术语和定义</w:t>
      </w:r>
      <w:bookmarkEnd w:id="68"/>
      <w:bookmarkEnd w:id="69"/>
      <w:bookmarkEnd w:id="70"/>
      <w:bookmarkEnd w:id="71"/>
      <w:bookmarkEnd w:id="72"/>
      <w:bookmarkEnd w:id="73"/>
      <w:bookmarkEnd w:id="74"/>
      <w:bookmarkEnd w:id="75"/>
      <w:bookmarkEnd w:id="76"/>
      <w:bookmarkEnd w:id="77"/>
      <w:bookmarkEnd w:id="78"/>
      <w:bookmarkEnd w:id="79"/>
      <w:bookmarkEnd w:id="80"/>
    </w:p>
    <w:sdt>
      <w:sdtPr>
        <w:id w:val="-1909835108"/>
        <w:placeholder>
          <w:docPart w:val="7E2026F663C44E75A12F018A84BF279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81" w:name="_Toc26986532"/>
          <w:bookmarkEnd w:id="81"/>
          <w:r>
            <w:t>GB 1589-2016界定的以及下列术语和定义适用于本文件。</w:t>
          </w:r>
        </w:p>
      </w:sdtContent>
    </w:sdt>
    <w:p>
      <w:pPr>
        <w:pStyle w:val="223"/>
        <w:rPr>
          <w:rFonts w:ascii="黑体" w:hAnsi="黑体" w:eastAsia="黑体"/>
        </w:rPr>
      </w:pPr>
    </w:p>
    <w:p>
      <w:pPr>
        <w:pStyle w:val="223"/>
        <w:numPr>
          <w:numId w:val="0"/>
        </w:numPr>
        <w:ind w:leftChars="0" w:firstLine="420" w:firstLineChars="200"/>
        <w:rPr>
          <w:rFonts w:ascii="黑体" w:hAnsi="黑体" w:eastAsia="黑体"/>
        </w:rPr>
      </w:pPr>
      <w:r>
        <w:rPr>
          <w:rFonts w:hint="eastAsia" w:ascii="黑体" w:hAnsi="黑体" w:eastAsia="黑体"/>
        </w:rPr>
        <w:t>货物装载源头单位 Source enterprise of cargo loading</w:t>
      </w:r>
    </w:p>
    <w:p>
      <w:pPr>
        <w:pStyle w:val="56"/>
        <w:ind w:firstLine="420"/>
      </w:pPr>
      <w:r>
        <w:rPr>
          <w:rFonts w:hint="eastAsia"/>
        </w:rPr>
        <w:t>有重型货物装载配载作业的生产企业、运输企业、贸易市场，以及港口、货运站场等货物集散地和</w:t>
      </w:r>
    </w:p>
    <w:p>
      <w:pPr>
        <w:pStyle w:val="56"/>
        <w:ind w:firstLine="420"/>
      </w:pPr>
      <w:r>
        <w:rPr>
          <w:rFonts w:hint="eastAsia"/>
        </w:rPr>
        <w:t>建筑工地的经营人、管理人。</w:t>
      </w:r>
    </w:p>
    <w:p>
      <w:pPr>
        <w:pStyle w:val="223"/>
        <w:rPr>
          <w:rFonts w:ascii="黑体" w:hAnsi="黑体" w:eastAsia="黑体"/>
        </w:rPr>
      </w:pPr>
      <w:bookmarkStart w:id="82" w:name="_Hlk134194318"/>
    </w:p>
    <w:p>
      <w:pPr>
        <w:pStyle w:val="223"/>
        <w:numPr>
          <w:numId w:val="0"/>
        </w:numPr>
        <w:ind w:leftChars="0"/>
        <w:rPr>
          <w:rFonts w:ascii="黑体" w:hAnsi="黑体" w:eastAsia="黑体"/>
        </w:rPr>
      </w:pPr>
      <w:bookmarkStart w:id="351" w:name="_GoBack"/>
      <w:bookmarkEnd w:id="351"/>
      <w:r>
        <w:rPr>
          <w:rFonts w:hint="eastAsia" w:ascii="黑体" w:hAnsi="黑体" w:eastAsia="黑体"/>
        </w:rPr>
        <w:t xml:space="preserve"> </w:t>
      </w:r>
      <w:r>
        <w:rPr>
          <w:rFonts w:ascii="黑体" w:hAnsi="黑体" w:eastAsia="黑体"/>
        </w:rPr>
        <w:t xml:space="preserve">   </w:t>
      </w:r>
      <w:r>
        <w:rPr>
          <w:rFonts w:hint="eastAsia" w:ascii="黑体" w:hAnsi="黑体" w:eastAsia="黑体"/>
        </w:rPr>
        <w:t>重点货物装载源头单位 Key source enterprise of cargo loading</w:t>
      </w:r>
    </w:p>
    <w:p>
      <w:pPr>
        <w:pStyle w:val="56"/>
        <w:ind w:firstLine="420"/>
      </w:pPr>
      <w:r>
        <w:rPr>
          <w:rFonts w:hint="eastAsia"/>
        </w:rPr>
        <w:t>达到国家工业统计制度规定的规模以上标准的矿山开采、钢铁、水泥及水泥制品等生产企业；</w:t>
      </w:r>
    </w:p>
    <w:p>
      <w:pPr>
        <w:pStyle w:val="56"/>
        <w:ind w:firstLine="420"/>
      </w:pPr>
      <w:r>
        <w:rPr>
          <w:rFonts w:hint="eastAsia"/>
        </w:rPr>
        <w:t>商品混凝土生产企业；</w:t>
      </w:r>
    </w:p>
    <w:p>
      <w:pPr>
        <w:pStyle w:val="56"/>
        <w:ind w:firstLine="420"/>
      </w:pPr>
      <w:r>
        <w:rPr>
          <w:rFonts w:hint="eastAsia"/>
        </w:rPr>
        <w:t>重量超过80吨不可解体物品生产企业；</w:t>
      </w:r>
    </w:p>
    <w:p>
      <w:pPr>
        <w:pStyle w:val="56"/>
        <w:ind w:firstLine="420"/>
      </w:pPr>
      <w:r>
        <w:rPr>
          <w:rFonts w:hint="eastAsia"/>
        </w:rPr>
        <w:t>运输量较大的港口（码头）、铁路货运站场、道路货运站场、物流园区，以及重型货物贸易市场；</w:t>
      </w:r>
    </w:p>
    <w:p>
      <w:pPr>
        <w:pStyle w:val="56"/>
        <w:ind w:firstLine="420"/>
      </w:pPr>
      <w:r>
        <w:rPr>
          <w:rFonts w:hint="eastAsia"/>
        </w:rPr>
        <w:t>容易发生超限超载运输的其他货物装载源头单位。</w:t>
      </w:r>
    </w:p>
    <w:bookmarkEnd w:id="82"/>
    <w:p>
      <w:pPr>
        <w:pStyle w:val="104"/>
        <w:spacing w:before="312" w:after="312"/>
      </w:pPr>
      <w:bookmarkStart w:id="83" w:name="_Toc134093492"/>
      <w:bookmarkStart w:id="84" w:name="_Toc134112266"/>
      <w:bookmarkStart w:id="85" w:name="_Toc134112885"/>
      <w:bookmarkStart w:id="86" w:name="_Toc134174275"/>
      <w:bookmarkStart w:id="87" w:name="_Toc134175147"/>
      <w:bookmarkStart w:id="88" w:name="_Toc134175266"/>
      <w:bookmarkStart w:id="89" w:name="_Toc134175466"/>
      <w:bookmarkStart w:id="90" w:name="_Toc134175653"/>
      <w:bookmarkStart w:id="91" w:name="_Toc134186363"/>
      <w:bookmarkStart w:id="92" w:name="_Toc134194746"/>
      <w:bookmarkStart w:id="93" w:name="_Toc134195223"/>
      <w:bookmarkStart w:id="94" w:name="_Toc135404381"/>
      <w:r>
        <w:rPr>
          <w:rFonts w:hint="eastAsia"/>
        </w:rPr>
        <w:t>一般规定</w:t>
      </w:r>
      <w:bookmarkEnd w:id="83"/>
      <w:bookmarkEnd w:id="84"/>
      <w:bookmarkEnd w:id="85"/>
      <w:bookmarkEnd w:id="86"/>
      <w:bookmarkEnd w:id="87"/>
      <w:bookmarkEnd w:id="88"/>
      <w:bookmarkEnd w:id="89"/>
      <w:bookmarkEnd w:id="90"/>
      <w:bookmarkEnd w:id="91"/>
      <w:bookmarkEnd w:id="92"/>
      <w:bookmarkEnd w:id="93"/>
      <w:bookmarkEnd w:id="94"/>
    </w:p>
    <w:p>
      <w:pPr>
        <w:pStyle w:val="105"/>
        <w:spacing w:before="156" w:after="156"/>
      </w:pPr>
      <w:bookmarkStart w:id="95" w:name="_Toc134093493"/>
      <w:bookmarkStart w:id="96" w:name="_Toc134112267"/>
      <w:bookmarkStart w:id="97" w:name="_Toc134112886"/>
      <w:bookmarkStart w:id="98" w:name="_Toc134174276"/>
      <w:bookmarkStart w:id="99" w:name="_Toc134175148"/>
      <w:bookmarkStart w:id="100" w:name="_Toc134175267"/>
      <w:bookmarkStart w:id="101" w:name="_Toc134175467"/>
      <w:bookmarkStart w:id="102" w:name="_Toc134175654"/>
      <w:bookmarkStart w:id="103" w:name="_Toc134186364"/>
      <w:bookmarkStart w:id="104" w:name="_Toc134194747"/>
      <w:bookmarkStart w:id="105" w:name="_Toc134195224"/>
      <w:bookmarkStart w:id="106" w:name="_Toc135404382"/>
      <w:r>
        <w:rPr>
          <w:rFonts w:hint="eastAsia"/>
        </w:rPr>
        <w:t>车辆</w:t>
      </w:r>
      <w:bookmarkEnd w:id="95"/>
      <w:bookmarkEnd w:id="96"/>
      <w:bookmarkEnd w:id="97"/>
      <w:bookmarkEnd w:id="98"/>
      <w:bookmarkEnd w:id="99"/>
      <w:bookmarkEnd w:id="100"/>
      <w:bookmarkEnd w:id="101"/>
      <w:bookmarkEnd w:id="102"/>
      <w:bookmarkEnd w:id="103"/>
      <w:bookmarkEnd w:id="104"/>
      <w:bookmarkEnd w:id="105"/>
      <w:bookmarkEnd w:id="106"/>
    </w:p>
    <w:p>
      <w:pPr>
        <w:pStyle w:val="165"/>
      </w:pPr>
      <w:r>
        <w:rPr>
          <w:rFonts w:hint="eastAsia"/>
        </w:rPr>
        <w:t>应严格按照GB 1589-2016《汽车、挂车及汽车列车外廓尺寸、轴荷及质量限值》车辆最大允许总质量值和《公路货运车辆超限超载认定标准》（见附录A）装载配载货物。</w:t>
      </w:r>
    </w:p>
    <w:p>
      <w:pPr>
        <w:pStyle w:val="165"/>
      </w:pPr>
      <w:r>
        <w:rPr>
          <w:rFonts w:hint="eastAsia"/>
        </w:rPr>
        <w:t>所有出场（站）货运车辆应按规定进行称重，车货总重符合超限超载认定标准后，方可在货运运单上盖章。</w:t>
      </w:r>
    </w:p>
    <w:p>
      <w:pPr>
        <w:pStyle w:val="165"/>
      </w:pPr>
      <w:r>
        <w:rPr>
          <w:rFonts w:hint="eastAsia"/>
        </w:rPr>
        <w:t>应按照规定装载配载，不装载配载法律法规禁止的货物，法律法规另有规定的，应查验有关手续后方可装载配载。</w:t>
      </w:r>
    </w:p>
    <w:p>
      <w:pPr>
        <w:pStyle w:val="165"/>
      </w:pPr>
      <w:r>
        <w:rPr>
          <w:rFonts w:hint="eastAsia"/>
        </w:rPr>
        <w:t>不应为无牌无证、证照不全或非法改装的车辆装载配载货物。</w:t>
      </w:r>
    </w:p>
    <w:p>
      <w:pPr>
        <w:pStyle w:val="165"/>
      </w:pPr>
      <w:r>
        <w:rPr>
          <w:rFonts w:hint="eastAsia"/>
        </w:rPr>
        <w:t>不应为超限超载车辆提供虚假装载证明。</w:t>
      </w:r>
    </w:p>
    <w:p>
      <w:pPr>
        <w:pStyle w:val="165"/>
      </w:pPr>
      <w:r>
        <w:rPr>
          <w:rFonts w:hint="eastAsia"/>
        </w:rPr>
        <w:t>不应放行超限超载车辆出场（站）。</w:t>
      </w:r>
    </w:p>
    <w:p>
      <w:pPr>
        <w:pStyle w:val="165"/>
      </w:pPr>
      <w:r>
        <w:rPr>
          <w:rFonts w:hint="eastAsia"/>
        </w:rPr>
        <w:t>对装载配载易抛洒、滴漏、飞扬、散落、污染等物品的车辆，应采取相应防护或者密封措施。</w:t>
      </w:r>
    </w:p>
    <w:p>
      <w:pPr>
        <w:pStyle w:val="165"/>
      </w:pPr>
      <w:r>
        <w:rPr>
          <w:rFonts w:hint="eastAsia"/>
        </w:rPr>
        <w:t>做好车辆出车前（后）的督促提醒工作，发现隐患应及时消除，确保行车安全。</w:t>
      </w:r>
    </w:p>
    <w:p>
      <w:pPr>
        <w:pStyle w:val="165"/>
      </w:pPr>
      <w:r>
        <w:rPr>
          <w:rFonts w:hint="eastAsia"/>
        </w:rPr>
        <w:t>应对出场（站）货运车辆进行登记，做好台账记录。</w:t>
      </w:r>
    </w:p>
    <w:p>
      <w:pPr>
        <w:pStyle w:val="165"/>
      </w:pPr>
      <w:r>
        <w:rPr>
          <w:rFonts w:hint="eastAsia"/>
        </w:rPr>
        <w:t>应检查进场（站）的危险货物运输车辆、半挂牵引车以及重型载货汽车（总质量为12吨及以上的普通货运车辆）保证卫星定位装置在线。</w:t>
      </w:r>
    </w:p>
    <w:p>
      <w:pPr>
        <w:pStyle w:val="165"/>
      </w:pPr>
      <w:r>
        <w:rPr>
          <w:rFonts w:hint="eastAsia"/>
        </w:rPr>
        <w:t>应对进场（站）货运车辆登记车辆证件信息。</w:t>
      </w:r>
    </w:p>
    <w:p>
      <w:pPr>
        <w:pStyle w:val="105"/>
        <w:spacing w:before="156" w:after="156"/>
      </w:pPr>
      <w:bookmarkStart w:id="107" w:name="_Toc134093494"/>
      <w:bookmarkStart w:id="108" w:name="_Toc134112268"/>
      <w:bookmarkStart w:id="109" w:name="_Toc134112887"/>
      <w:bookmarkStart w:id="110" w:name="_Toc134174277"/>
      <w:bookmarkStart w:id="111" w:name="_Toc134175149"/>
      <w:bookmarkStart w:id="112" w:name="_Toc134175268"/>
      <w:bookmarkStart w:id="113" w:name="_Toc134175468"/>
      <w:bookmarkStart w:id="114" w:name="_Toc134175655"/>
      <w:bookmarkStart w:id="115" w:name="_Toc134186365"/>
      <w:bookmarkStart w:id="116" w:name="_Toc134194748"/>
      <w:bookmarkStart w:id="117" w:name="_Toc134195225"/>
      <w:bookmarkStart w:id="118" w:name="_Toc135404383"/>
      <w:r>
        <w:rPr>
          <w:rFonts w:hint="eastAsia"/>
        </w:rPr>
        <w:t>人员</w:t>
      </w:r>
      <w:bookmarkEnd w:id="107"/>
      <w:bookmarkEnd w:id="108"/>
      <w:bookmarkEnd w:id="109"/>
      <w:bookmarkEnd w:id="110"/>
      <w:bookmarkEnd w:id="111"/>
      <w:bookmarkEnd w:id="112"/>
      <w:bookmarkEnd w:id="113"/>
      <w:bookmarkEnd w:id="114"/>
      <w:bookmarkEnd w:id="115"/>
      <w:bookmarkEnd w:id="116"/>
      <w:bookmarkEnd w:id="117"/>
      <w:bookmarkEnd w:id="118"/>
    </w:p>
    <w:p>
      <w:pPr>
        <w:pStyle w:val="65"/>
        <w:spacing w:before="156" w:after="156"/>
      </w:pPr>
      <w:r>
        <w:rPr>
          <w:rFonts w:hint="eastAsia"/>
        </w:rPr>
        <w:t>驾驶员</w:t>
      </w:r>
    </w:p>
    <w:p>
      <w:pPr>
        <w:pStyle w:val="164"/>
      </w:pPr>
      <w:r>
        <w:rPr>
          <w:rFonts w:hint="eastAsia"/>
        </w:rPr>
        <w:t>应对进场（站）驾驶员登记从业资格证证件信息。</w:t>
      </w:r>
    </w:p>
    <w:p>
      <w:pPr>
        <w:pStyle w:val="164"/>
      </w:pPr>
      <w:r>
        <w:rPr>
          <w:rFonts w:hint="eastAsia"/>
        </w:rPr>
        <w:t>应督促驾驶员随车携带货运运单。</w:t>
      </w:r>
    </w:p>
    <w:p>
      <w:pPr>
        <w:pStyle w:val="164"/>
      </w:pPr>
      <w:r>
        <w:rPr>
          <w:rFonts w:hint="eastAsia"/>
        </w:rPr>
        <w:t>应提醒驾驶员在道路运输过程中不得加装货物，造成超限超载违法行为。</w:t>
      </w:r>
    </w:p>
    <w:p>
      <w:pPr>
        <w:pStyle w:val="164"/>
      </w:pPr>
      <w:r>
        <w:rPr>
          <w:rFonts w:hint="eastAsia"/>
        </w:rPr>
        <w:t>应督促驾驶员驾驶车辆通过固定超限检测站点、公路收费站、公路渡口时，服从现场指挥，主动接受检查、检测，不扰乱检测秩序。</w:t>
      </w:r>
    </w:p>
    <w:p>
      <w:pPr>
        <w:pStyle w:val="164"/>
      </w:pPr>
      <w:r>
        <w:rPr>
          <w:rFonts w:hint="eastAsia"/>
        </w:rPr>
        <w:t>应督促驾驶员驾驶车辆行经超限超载动态检测监控区域时，按照交通标志、标线行驶，不应采取多车辆并排、首尾紧随等方式逃避检测。</w:t>
      </w:r>
    </w:p>
    <w:p>
      <w:pPr>
        <w:pStyle w:val="65"/>
        <w:spacing w:before="156" w:after="156"/>
      </w:pPr>
      <w:r>
        <w:rPr>
          <w:rFonts w:hint="eastAsia"/>
        </w:rPr>
        <w:t>安全生产管理人员</w:t>
      </w:r>
    </w:p>
    <w:p>
      <w:pPr>
        <w:pStyle w:val="164"/>
      </w:pPr>
      <w:r>
        <w:rPr>
          <w:rFonts w:hint="eastAsia"/>
        </w:rPr>
        <w:t>应负责场（站）日常超限超载安全防范工作。</w:t>
      </w:r>
    </w:p>
    <w:p>
      <w:pPr>
        <w:pStyle w:val="164"/>
      </w:pPr>
      <w:r>
        <w:rPr>
          <w:rFonts w:hint="eastAsia"/>
        </w:rPr>
        <w:t>应当对从业人员进行车辆超限超载安全教育和培训，保证从业人员具备必要的安全生产知识，熟悉有关的安全生产规章制度和安全操作规程，掌握本岗位的安全操作技能，了解事故应急处理措施，知悉自身在安全生产方面的权利和义务，督促其合法运输。</w:t>
      </w:r>
    </w:p>
    <w:p>
      <w:pPr>
        <w:pStyle w:val="164"/>
      </w:pPr>
      <w:r>
        <w:rPr>
          <w:rFonts w:hint="eastAsia"/>
        </w:rPr>
        <w:t>装载货物后，应检查车辆有无超限超载，发现超限超载行为的，应督促驾驶员卸驳载，直至车货总重不超过超限超载认定标准。</w:t>
      </w:r>
    </w:p>
    <w:p>
      <w:pPr>
        <w:pStyle w:val="105"/>
        <w:spacing w:before="156" w:after="156"/>
      </w:pPr>
      <w:bookmarkStart w:id="119" w:name="_Toc134112888"/>
      <w:bookmarkStart w:id="120" w:name="_Toc134112269"/>
      <w:bookmarkStart w:id="121" w:name="_Toc134175150"/>
      <w:bookmarkStart w:id="122" w:name="_Toc134174278"/>
      <w:bookmarkStart w:id="123" w:name="_Toc134175469"/>
      <w:bookmarkStart w:id="124" w:name="_Toc134175269"/>
      <w:bookmarkStart w:id="125" w:name="_Toc134093495"/>
      <w:bookmarkStart w:id="126" w:name="_Toc134186366"/>
      <w:bookmarkStart w:id="127" w:name="_Toc134175656"/>
      <w:bookmarkStart w:id="128" w:name="_Toc135404384"/>
      <w:bookmarkStart w:id="129" w:name="_Toc134195226"/>
      <w:bookmarkStart w:id="130" w:name="_Toc134194749"/>
      <w:r>
        <w:rPr>
          <w:rFonts w:hint="eastAsia"/>
        </w:rPr>
        <w:t>运单</w:t>
      </w:r>
      <w:bookmarkEnd w:id="119"/>
      <w:bookmarkEnd w:id="120"/>
      <w:bookmarkEnd w:id="121"/>
      <w:bookmarkEnd w:id="122"/>
      <w:bookmarkEnd w:id="123"/>
      <w:bookmarkEnd w:id="124"/>
      <w:bookmarkEnd w:id="125"/>
      <w:bookmarkEnd w:id="126"/>
      <w:bookmarkEnd w:id="127"/>
      <w:bookmarkEnd w:id="128"/>
      <w:bookmarkEnd w:id="129"/>
      <w:bookmarkEnd w:id="130"/>
    </w:p>
    <w:p>
      <w:pPr>
        <w:pStyle w:val="165"/>
      </w:pPr>
      <w:r>
        <w:rPr>
          <w:rFonts w:hint="eastAsia"/>
        </w:rPr>
        <w:t>应如实计重、开票、签发货运运单。</w:t>
      </w:r>
    </w:p>
    <w:p>
      <w:pPr>
        <w:pStyle w:val="165"/>
      </w:pPr>
      <w:r>
        <w:rPr>
          <w:rFonts w:hint="eastAsia"/>
        </w:rPr>
        <w:t>货运运单（见附录B）应包括货物装载源头单位和道路运输经营者名称、车辆号牌、车货总重、出场（站）时间以及驾驶员姓名、从业资格证号、起运地、送达地等内容并加盖印章。</w:t>
      </w:r>
    </w:p>
    <w:p>
      <w:pPr>
        <w:pStyle w:val="165"/>
      </w:pPr>
      <w:r>
        <w:rPr>
          <w:rFonts w:hint="eastAsia"/>
        </w:rPr>
        <w:t>货运运单应一式两联，存根联由公司归档，随车备查联交由驾驶员。</w:t>
      </w:r>
    </w:p>
    <w:p>
      <w:pPr>
        <w:pStyle w:val="165"/>
      </w:pPr>
      <w:r>
        <w:rPr>
          <w:rFonts w:hint="eastAsia"/>
        </w:rPr>
        <w:t>电子运单应参照纸质货运运单执行。</w:t>
      </w:r>
    </w:p>
    <w:p>
      <w:pPr>
        <w:pStyle w:val="105"/>
        <w:spacing w:before="156" w:after="156"/>
      </w:pPr>
      <w:bookmarkStart w:id="131" w:name="_Toc134175470"/>
      <w:bookmarkStart w:id="132" w:name="_Toc134174279"/>
      <w:bookmarkStart w:id="133" w:name="_Toc135404385"/>
      <w:bookmarkStart w:id="134" w:name="_Toc134194750"/>
      <w:bookmarkStart w:id="135" w:name="_Toc134175151"/>
      <w:bookmarkStart w:id="136" w:name="_Toc134186367"/>
      <w:bookmarkStart w:id="137" w:name="_Toc134175657"/>
      <w:bookmarkStart w:id="138" w:name="_Toc134195227"/>
      <w:bookmarkStart w:id="139" w:name="_Toc134112270"/>
      <w:bookmarkStart w:id="140" w:name="_Toc134175270"/>
      <w:bookmarkStart w:id="141" w:name="_Toc134112889"/>
      <w:bookmarkStart w:id="142" w:name="_Toc134093496"/>
      <w:r>
        <w:rPr>
          <w:rFonts w:hint="eastAsia"/>
        </w:rPr>
        <w:t>制度</w:t>
      </w:r>
      <w:bookmarkEnd w:id="131"/>
      <w:bookmarkEnd w:id="132"/>
      <w:bookmarkEnd w:id="133"/>
      <w:bookmarkEnd w:id="134"/>
      <w:bookmarkEnd w:id="135"/>
      <w:bookmarkEnd w:id="136"/>
      <w:bookmarkEnd w:id="137"/>
      <w:bookmarkEnd w:id="138"/>
      <w:bookmarkEnd w:id="139"/>
      <w:bookmarkEnd w:id="140"/>
      <w:bookmarkEnd w:id="141"/>
      <w:bookmarkEnd w:id="142"/>
    </w:p>
    <w:p>
      <w:pPr>
        <w:pStyle w:val="165"/>
      </w:pPr>
      <w:r>
        <w:rPr>
          <w:rFonts w:hint="eastAsia"/>
        </w:rPr>
        <w:t>应建立健全车辆装载配载安全管理制度，明确安全员、装配员、称重员、票据员、门卫等从业人员的安全管理职责，定期组织开展进出场（站）、装载配载、运输等安全业务培训，从业人员未经培训合格不得上岗。</w:t>
      </w:r>
    </w:p>
    <w:p>
      <w:pPr>
        <w:pStyle w:val="165"/>
      </w:pPr>
      <w:r>
        <w:rPr>
          <w:rFonts w:hint="eastAsia"/>
        </w:rPr>
        <w:t>应选择合法的道路运输经营者，与承包单位、承租单位签订专门的安全生产管理协议，或者在承包合同、租赁合同中约定各自的安全生产管理职责；对承包单位、承租单位的安全生产工作统一协调、管理，定期进行安全检查，发现安全问题的，应当及时督促整改。</w:t>
      </w:r>
    </w:p>
    <w:p>
      <w:pPr>
        <w:pStyle w:val="165"/>
      </w:pPr>
      <w:r>
        <w:rPr>
          <w:rFonts w:hint="eastAsia"/>
        </w:rPr>
        <w:t>不应指使、强令货运车辆驾驶员违法超限运输货物。</w:t>
      </w:r>
    </w:p>
    <w:p>
      <w:pPr>
        <w:pStyle w:val="165"/>
      </w:pPr>
      <w:r>
        <w:rPr>
          <w:rFonts w:hint="eastAsia"/>
        </w:rPr>
        <w:t>应自觉接受行业监管部门的监督检查，提供相关资料。</w:t>
      </w:r>
    </w:p>
    <w:p>
      <w:pPr>
        <w:pStyle w:val="165"/>
      </w:pPr>
      <w:r>
        <w:rPr>
          <w:rFonts w:hint="eastAsia"/>
        </w:rPr>
        <w:t>对行业监管部门检查发现的安全生产隐患整改事项，应按时逐项予以闭环整改。</w:t>
      </w:r>
    </w:p>
    <w:p>
      <w:pPr>
        <w:pStyle w:val="104"/>
        <w:spacing w:before="312" w:after="312"/>
      </w:pPr>
      <w:bookmarkStart w:id="143" w:name="_Toc134112890"/>
      <w:bookmarkStart w:id="144" w:name="_Toc134195228"/>
      <w:bookmarkStart w:id="145" w:name="_Toc134194751"/>
      <w:bookmarkStart w:id="146" w:name="_Toc134186368"/>
      <w:bookmarkStart w:id="147" w:name="_Toc134175271"/>
      <w:bookmarkStart w:id="148" w:name="_Toc134175152"/>
      <w:bookmarkStart w:id="149" w:name="_Toc134175471"/>
      <w:bookmarkStart w:id="150" w:name="_Toc134174280"/>
      <w:bookmarkStart w:id="151" w:name="_Toc134175658"/>
      <w:bookmarkStart w:id="152" w:name="_Toc134112271"/>
      <w:bookmarkStart w:id="153" w:name="_Toc134093497"/>
      <w:bookmarkStart w:id="154" w:name="_Toc135404386"/>
      <w:r>
        <w:rPr>
          <w:rFonts w:hint="eastAsia"/>
        </w:rPr>
        <w:t>特殊规定</w:t>
      </w:r>
      <w:bookmarkEnd w:id="143"/>
      <w:bookmarkEnd w:id="144"/>
      <w:bookmarkEnd w:id="145"/>
      <w:bookmarkEnd w:id="146"/>
      <w:bookmarkEnd w:id="147"/>
      <w:bookmarkEnd w:id="148"/>
      <w:bookmarkEnd w:id="149"/>
      <w:bookmarkEnd w:id="150"/>
      <w:bookmarkEnd w:id="151"/>
      <w:bookmarkEnd w:id="152"/>
      <w:bookmarkEnd w:id="153"/>
      <w:bookmarkEnd w:id="154"/>
    </w:p>
    <w:p>
      <w:pPr>
        <w:pStyle w:val="105"/>
        <w:spacing w:before="156" w:after="156"/>
      </w:pPr>
      <w:bookmarkStart w:id="155" w:name="_Toc134175153"/>
      <w:bookmarkStart w:id="156" w:name="_Toc134112891"/>
      <w:bookmarkStart w:id="157" w:name="_Toc134194752"/>
      <w:bookmarkStart w:id="158" w:name="_Toc134174281"/>
      <w:bookmarkStart w:id="159" w:name="_Toc134186369"/>
      <w:bookmarkStart w:id="160" w:name="_Toc134112272"/>
      <w:bookmarkStart w:id="161" w:name="_Toc134175472"/>
      <w:bookmarkStart w:id="162" w:name="_Toc134175272"/>
      <w:bookmarkStart w:id="163" w:name="_Toc134195229"/>
      <w:bookmarkStart w:id="164" w:name="_Toc134093498"/>
      <w:bookmarkStart w:id="165" w:name="_Toc134175659"/>
      <w:bookmarkStart w:id="166" w:name="_Toc135404387"/>
      <w:r>
        <w:rPr>
          <w:rFonts w:hint="eastAsia"/>
        </w:rPr>
        <w:t>大件运输</w:t>
      </w:r>
      <w:bookmarkEnd w:id="155"/>
      <w:bookmarkEnd w:id="156"/>
      <w:bookmarkEnd w:id="157"/>
      <w:bookmarkEnd w:id="158"/>
      <w:bookmarkEnd w:id="159"/>
      <w:bookmarkEnd w:id="160"/>
      <w:bookmarkEnd w:id="161"/>
      <w:bookmarkEnd w:id="162"/>
      <w:bookmarkEnd w:id="163"/>
      <w:bookmarkEnd w:id="164"/>
      <w:bookmarkEnd w:id="165"/>
      <w:bookmarkEnd w:id="166"/>
    </w:p>
    <w:p>
      <w:pPr>
        <w:pStyle w:val="165"/>
      </w:pPr>
      <w:r>
        <w:rPr>
          <w:rFonts w:hint="eastAsia"/>
        </w:rPr>
        <w:t>应在货运运单上如实填写托运货物的名称、重量等相关信息，对江苏省辖区内起运的Ⅲ类大件运输车辆应制作《大型不可解体物品调运单》（见附录C）或《江苏省道路货运运单》（大型不可解体物品）（见附录D）。</w:t>
      </w:r>
    </w:p>
    <w:p>
      <w:pPr>
        <w:pStyle w:val="165"/>
      </w:pPr>
      <w:r>
        <w:rPr>
          <w:rFonts w:hint="eastAsia"/>
        </w:rPr>
        <w:t>出场（站）前,应检查《超限运输车辆通行证》（见附录E）是否有效，记载的内容是否与实际相符。</w:t>
      </w:r>
    </w:p>
    <w:p>
      <w:pPr>
        <w:pStyle w:val="165"/>
      </w:pPr>
      <w:r>
        <w:rPr>
          <w:rFonts w:hint="eastAsia"/>
        </w:rPr>
        <w:t>出场（站）前,应督促驾驶员按照指定的时间、路线和速度行驶。对于Ⅲ类大件运输车辆，应督促大件运输企业按照护送方案组织护送。</w:t>
      </w:r>
    </w:p>
    <w:p>
      <w:pPr>
        <w:pStyle w:val="105"/>
        <w:spacing w:before="156" w:after="156"/>
      </w:pPr>
      <w:bookmarkStart w:id="167" w:name="_Toc134093499"/>
      <w:bookmarkStart w:id="168" w:name="_Toc134112273"/>
      <w:bookmarkStart w:id="169" w:name="_Toc134112892"/>
      <w:bookmarkStart w:id="170" w:name="_Toc134174282"/>
      <w:bookmarkStart w:id="171" w:name="_Toc134175154"/>
      <w:bookmarkStart w:id="172" w:name="_Toc134175273"/>
      <w:bookmarkStart w:id="173" w:name="_Toc134175473"/>
      <w:bookmarkStart w:id="174" w:name="_Toc134175660"/>
      <w:bookmarkStart w:id="175" w:name="_Toc134186370"/>
      <w:bookmarkStart w:id="176" w:name="_Toc134194753"/>
      <w:bookmarkStart w:id="177" w:name="_Toc134195230"/>
      <w:bookmarkStart w:id="178" w:name="_Toc135404388"/>
      <w:r>
        <w:rPr>
          <w:rFonts w:hint="eastAsia"/>
        </w:rPr>
        <w:t>称重监控</w:t>
      </w:r>
      <w:bookmarkEnd w:id="167"/>
      <w:bookmarkEnd w:id="168"/>
      <w:bookmarkEnd w:id="169"/>
      <w:bookmarkEnd w:id="170"/>
      <w:bookmarkEnd w:id="171"/>
      <w:bookmarkEnd w:id="172"/>
      <w:bookmarkEnd w:id="173"/>
      <w:bookmarkEnd w:id="174"/>
      <w:bookmarkEnd w:id="175"/>
      <w:bookmarkEnd w:id="176"/>
      <w:bookmarkEnd w:id="177"/>
      <w:bookmarkEnd w:id="178"/>
    </w:p>
    <w:p>
      <w:pPr>
        <w:pStyle w:val="165"/>
      </w:pPr>
      <w:r>
        <w:rPr>
          <w:rFonts w:hint="eastAsia"/>
        </w:rPr>
        <w:t>重点货物装载源头单位应安装符合国家和省有关标准规范的称重监控设施，每年新增的重点货物装载源头单位，应在公示后三个月内完成称重监控设施的安装和接入工作。</w:t>
      </w:r>
    </w:p>
    <w:p>
      <w:pPr>
        <w:pStyle w:val="165"/>
      </w:pPr>
      <w:r>
        <w:rPr>
          <w:rFonts w:hint="eastAsia"/>
        </w:rPr>
        <w:t>重点货物装载源头单位应定期计量检定称重监控设施，确保正常使用。</w:t>
      </w:r>
    </w:p>
    <w:p>
      <w:pPr>
        <w:pStyle w:val="165"/>
      </w:pPr>
      <w:r>
        <w:rPr>
          <w:rFonts w:hint="eastAsia"/>
        </w:rPr>
        <w:t>称重监控设施运行异常时，重点货物装载源头单位应立即维修并向行业监管部门报备。</w:t>
      </w:r>
    </w:p>
    <w:p>
      <w:pPr>
        <w:pStyle w:val="165"/>
      </w:pPr>
      <w:r>
        <w:rPr>
          <w:rFonts w:hint="eastAsia"/>
        </w:rPr>
        <w:t>重点货物装载源头单位应向相关行业监管部门实时传输称重数据（称重检测数据、称重图像数据和称重视频数据）和电子抓拍数据（抓拍记录数据和抓拍图像数据）。称重视频数据应满足治超系统可以远程调阅的功能。称重检测数据、抓拍记录数据至少留存1年，未超限车辆的称重图像数据、抓拍图像数据建议至少留存90天。</w:t>
      </w:r>
    </w:p>
    <w:p>
      <w:pPr>
        <w:pStyle w:val="104"/>
        <w:spacing w:before="312" w:after="312"/>
      </w:pPr>
      <w:bookmarkStart w:id="179" w:name="_Toc134093500"/>
      <w:bookmarkStart w:id="180" w:name="_Toc134112274"/>
      <w:bookmarkStart w:id="181" w:name="_Toc134112893"/>
      <w:bookmarkStart w:id="182" w:name="_Toc134174283"/>
      <w:bookmarkStart w:id="183" w:name="_Toc134175155"/>
      <w:bookmarkStart w:id="184" w:name="_Toc134175274"/>
      <w:bookmarkStart w:id="185" w:name="_Toc134175474"/>
      <w:bookmarkStart w:id="186" w:name="_Toc134175661"/>
      <w:bookmarkStart w:id="187" w:name="_Toc134186371"/>
      <w:bookmarkStart w:id="188" w:name="_Toc134194754"/>
      <w:bookmarkStart w:id="189" w:name="_Toc134195231"/>
      <w:bookmarkStart w:id="190" w:name="_Toc135404389"/>
      <w:r>
        <w:rPr>
          <w:rFonts w:hint="eastAsia"/>
        </w:rPr>
        <w:t>资料</w:t>
      </w:r>
      <w:bookmarkEnd w:id="179"/>
      <w:bookmarkEnd w:id="180"/>
      <w:bookmarkEnd w:id="181"/>
      <w:bookmarkEnd w:id="182"/>
      <w:bookmarkEnd w:id="183"/>
      <w:bookmarkEnd w:id="184"/>
      <w:bookmarkEnd w:id="185"/>
      <w:bookmarkEnd w:id="186"/>
      <w:bookmarkEnd w:id="187"/>
      <w:bookmarkEnd w:id="188"/>
      <w:bookmarkEnd w:id="189"/>
      <w:bookmarkEnd w:id="190"/>
    </w:p>
    <w:p>
      <w:pPr>
        <w:pStyle w:val="162"/>
      </w:pPr>
      <w:r>
        <w:rPr>
          <w:rFonts w:hint="eastAsia"/>
        </w:rPr>
        <w:t>日常安全管理的资料应包含但不限于以下内容：</w:t>
      </w:r>
    </w:p>
    <w:p>
      <w:pPr>
        <w:pStyle w:val="162"/>
        <w:numPr>
          <w:ilvl w:val="0"/>
          <w:numId w:val="32"/>
        </w:numPr>
        <w:ind w:left="0" w:firstLine="420" w:firstLineChars="200"/>
      </w:pPr>
      <w:r>
        <w:rPr>
          <w:rFonts w:hint="eastAsia"/>
        </w:rPr>
        <w:t>安全管理工作会议学习台账；（见附录F）</w:t>
      </w:r>
    </w:p>
    <w:p>
      <w:pPr>
        <w:pStyle w:val="162"/>
        <w:numPr>
          <w:ilvl w:val="0"/>
          <w:numId w:val="32"/>
        </w:numPr>
        <w:ind w:left="0" w:firstLine="420" w:firstLineChars="200"/>
      </w:pPr>
      <w:r>
        <w:rPr>
          <w:rFonts w:hint="eastAsia"/>
        </w:rPr>
        <w:t>安全检查台账；（见附录G）</w:t>
      </w:r>
    </w:p>
    <w:p>
      <w:pPr>
        <w:pStyle w:val="162"/>
        <w:numPr>
          <w:ilvl w:val="0"/>
          <w:numId w:val="32"/>
        </w:numPr>
        <w:ind w:left="0" w:firstLine="420" w:firstLineChars="200"/>
      </w:pPr>
      <w:r>
        <w:rPr>
          <w:rFonts w:hint="eastAsia"/>
        </w:rPr>
        <w:t>安全隐患整改台账；（见附录H）</w:t>
      </w:r>
    </w:p>
    <w:p>
      <w:pPr>
        <w:pStyle w:val="162"/>
        <w:numPr>
          <w:ilvl w:val="0"/>
          <w:numId w:val="32"/>
        </w:numPr>
        <w:ind w:left="0" w:firstLine="420" w:firstLineChars="200"/>
      </w:pPr>
      <w:r>
        <w:rPr>
          <w:rFonts w:hint="eastAsia"/>
        </w:rPr>
        <w:t>货运车辆进出场（站）台账；（见附录I）</w:t>
      </w:r>
    </w:p>
    <w:p>
      <w:pPr>
        <w:pStyle w:val="162"/>
        <w:numPr>
          <w:ilvl w:val="0"/>
          <w:numId w:val="32"/>
        </w:numPr>
        <w:ind w:left="0" w:firstLine="420" w:firstLineChars="200"/>
      </w:pPr>
      <w:r>
        <w:rPr>
          <w:rFonts w:hint="eastAsia"/>
        </w:rPr>
        <w:t>超限运输车辆通行证登记台账；（见附录J）</w:t>
      </w:r>
    </w:p>
    <w:p>
      <w:pPr>
        <w:pStyle w:val="162"/>
        <w:numPr>
          <w:ilvl w:val="0"/>
          <w:numId w:val="32"/>
        </w:numPr>
        <w:ind w:left="0" w:firstLine="420" w:firstLineChars="200"/>
      </w:pPr>
      <w:r>
        <w:rPr>
          <w:rFonts w:hint="eastAsia"/>
        </w:rPr>
        <w:t>超限超载车辆处置台账。（见附录K）</w:t>
      </w:r>
    </w:p>
    <w:p>
      <w:pPr>
        <w:pStyle w:val="162"/>
      </w:pPr>
      <w:r>
        <w:rPr>
          <w:rFonts w:hint="eastAsia"/>
        </w:rPr>
        <w:t>重点货物装载源头单位除满足上述安全管理资料外，还应包含但不限于以下内容：</w:t>
      </w:r>
    </w:p>
    <w:p>
      <w:pPr>
        <w:pStyle w:val="162"/>
        <w:numPr>
          <w:ilvl w:val="0"/>
          <w:numId w:val="33"/>
        </w:numPr>
        <w:ind w:left="0" w:firstLine="420" w:firstLineChars="200"/>
      </w:pPr>
      <w:r>
        <w:rPr>
          <w:rFonts w:hint="eastAsia"/>
        </w:rPr>
        <w:t>称重监控设施定期计量检定表；（见附录L）</w:t>
      </w:r>
    </w:p>
    <w:p>
      <w:pPr>
        <w:pStyle w:val="162"/>
        <w:numPr>
          <w:ilvl w:val="0"/>
          <w:numId w:val="33"/>
        </w:numPr>
        <w:ind w:left="0" w:firstLine="420" w:firstLineChars="200"/>
      </w:pPr>
      <w:r>
        <w:rPr>
          <w:rFonts w:hint="eastAsia"/>
        </w:rPr>
        <w:t>称重监控设施运行异常报备及维修记录表。（见附录M）</w:t>
      </w:r>
    </w:p>
    <w:p>
      <w:pPr>
        <w:pStyle w:val="56"/>
        <w:ind w:firstLine="420"/>
      </w:pPr>
    </w:p>
    <w:p>
      <w:pPr>
        <w:pStyle w:val="56"/>
        <w:ind w:firstLine="420"/>
        <w:sectPr>
          <w:headerReference r:id="rId19" w:type="default"/>
          <w:footerReference r:id="rId21" w:type="default"/>
          <w:headerReference r:id="rId20" w:type="even"/>
          <w:footerReference r:id="rId22" w:type="even"/>
          <w:pgSz w:w="11906" w:h="16838"/>
          <w:pgMar w:top="1928" w:right="1134" w:bottom="1134" w:left="1134" w:header="1418" w:footer="1134" w:gutter="284"/>
          <w:pgNumType w:start="1"/>
          <w:cols w:space="425" w:num="1"/>
          <w:formProt w:val="0"/>
          <w:docGrid w:type="lines" w:linePitch="312" w:charSpace="0"/>
        </w:sectPr>
      </w:pPr>
    </w:p>
    <w:bookmarkEnd w:id="24"/>
    <w:p>
      <w:pPr>
        <w:pStyle w:val="198"/>
      </w:pPr>
      <w:bookmarkStart w:id="191" w:name="BookMark5"/>
    </w:p>
    <w:p>
      <w:pPr>
        <w:pStyle w:val="199"/>
      </w:pPr>
    </w:p>
    <w:p>
      <w:pPr>
        <w:pStyle w:val="76"/>
        <w:spacing w:after="156"/>
      </w:pPr>
      <w:bookmarkStart w:id="192" w:name="_Toc134175156"/>
      <w:bookmarkStart w:id="193" w:name="_Toc134112275"/>
      <w:bookmarkStart w:id="194" w:name="_Toc134195232"/>
      <w:bookmarkStart w:id="195" w:name="_Toc134194755"/>
      <w:bookmarkStart w:id="196" w:name="_Toc134175275"/>
      <w:bookmarkStart w:id="197" w:name="_Toc134175662"/>
      <w:bookmarkStart w:id="198" w:name="_Toc134186372"/>
      <w:bookmarkStart w:id="199" w:name="_Toc134112894"/>
      <w:bookmarkStart w:id="200" w:name="_Toc135404390"/>
      <w:bookmarkStart w:id="201" w:name="_Toc134175475"/>
      <w:bookmarkStart w:id="202" w:name="_Toc134174284"/>
    </w:p>
    <w:p>
      <w:pPr>
        <w:pStyle w:val="76"/>
        <w:spacing w:after="156"/>
      </w:pPr>
      <w:r>
        <w:rPr>
          <w:rFonts w:hint="eastAsia"/>
        </w:rPr>
        <w:t>（规范性）</w:t>
      </w:r>
    </w:p>
    <w:p>
      <w:pPr>
        <w:pStyle w:val="76"/>
        <w:spacing w:after="156"/>
      </w:pPr>
      <w:r>
        <w:rPr>
          <w:rFonts w:hint="eastAsia"/>
        </w:rPr>
        <w:t>公路货运车辆超限超载认定标准</w:t>
      </w:r>
      <w:bookmarkEnd w:id="192"/>
      <w:bookmarkEnd w:id="193"/>
      <w:bookmarkEnd w:id="194"/>
      <w:bookmarkEnd w:id="195"/>
      <w:bookmarkEnd w:id="196"/>
      <w:bookmarkEnd w:id="197"/>
      <w:bookmarkEnd w:id="198"/>
      <w:bookmarkEnd w:id="199"/>
      <w:bookmarkEnd w:id="200"/>
      <w:bookmarkEnd w:id="201"/>
      <w:bookmarkEnd w:id="202"/>
    </w:p>
    <w:p>
      <w:pPr>
        <w:pStyle w:val="56"/>
        <w:ind w:firstLine="420"/>
      </w:pPr>
      <w:r>
        <w:rPr>
          <w:rFonts w:hint="eastAsia"/>
        </w:rPr>
        <w:t>公路货运车辆超限超载认定标准见表A.1。</w:t>
      </w:r>
    </w:p>
    <w:p>
      <w:pPr>
        <w:pStyle w:val="77"/>
        <w:spacing w:before="156" w:after="156"/>
      </w:pPr>
      <w:r>
        <w:rPr>
          <w:rFonts w:hint="eastAsia"/>
        </w:rPr>
        <w:t>公路货运车辆超限超载认定标准</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59"/>
        <w:gridCol w:w="2707"/>
        <w:gridCol w:w="2135"/>
        <w:gridCol w:w="2137"/>
        <w:gridCol w:w="18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blHeader/>
          <w:jc w:val="center"/>
        </w:trPr>
        <w:tc>
          <w:tcPr>
            <w:tcW w:w="298" w:type="pct"/>
            <w:shd w:val="clear" w:color="auto" w:fill="auto"/>
            <w:vAlign w:val="center"/>
          </w:tcPr>
          <w:p>
            <w:pPr>
              <w:pStyle w:val="56"/>
              <w:ind w:firstLine="0" w:firstLineChars="0"/>
              <w:jc w:val="center"/>
              <w:rPr>
                <w:rFonts w:hAnsi="宋体"/>
                <w:sz w:val="18"/>
                <w:szCs w:val="18"/>
              </w:rPr>
            </w:pPr>
            <w:bookmarkStart w:id="203" w:name="_Hlk113354591"/>
            <w:bookmarkStart w:id="204" w:name="_Hlk133362277"/>
            <w:r>
              <w:rPr>
                <w:rFonts w:hint="eastAsia" w:hAnsi="宋体"/>
                <w:sz w:val="18"/>
                <w:szCs w:val="18"/>
              </w:rPr>
              <w:t>轴数</w:t>
            </w: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车型</w:t>
            </w:r>
          </w:p>
        </w:tc>
        <w:tc>
          <w:tcPr>
            <w:tcW w:w="2279" w:type="pct"/>
            <w:gridSpan w:val="2"/>
            <w:shd w:val="clear" w:color="auto" w:fill="auto"/>
            <w:vAlign w:val="center"/>
          </w:tcPr>
          <w:p>
            <w:pPr>
              <w:pStyle w:val="56"/>
              <w:ind w:firstLine="0" w:firstLineChars="0"/>
              <w:jc w:val="center"/>
              <w:rPr>
                <w:rFonts w:hAnsi="宋体"/>
                <w:sz w:val="18"/>
                <w:szCs w:val="18"/>
              </w:rPr>
            </w:pPr>
            <w:r>
              <w:rPr>
                <w:rFonts w:hint="eastAsia" w:hAnsi="宋体"/>
                <w:sz w:val="18"/>
                <w:szCs w:val="18"/>
              </w:rPr>
              <w:t>图例</w:t>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总质量限值（吨）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shd w:val="clear" w:color="auto" w:fill="auto"/>
            <w:vAlign w:val="center"/>
          </w:tcPr>
          <w:p>
            <w:pPr>
              <w:pStyle w:val="56"/>
              <w:ind w:firstLine="0" w:firstLineChars="0"/>
              <w:jc w:val="center"/>
              <w:rPr>
                <w:rFonts w:hAnsi="宋体"/>
                <w:sz w:val="18"/>
                <w:szCs w:val="18"/>
              </w:rPr>
            </w:pPr>
            <w:r>
              <w:rPr>
                <w:rFonts w:hint="eastAsia" w:hAnsi="宋体"/>
                <w:sz w:val="18"/>
                <w:szCs w:val="18"/>
              </w:rPr>
              <w:t>2轴</w:t>
            </w: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载货汽车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9220"/>
                  <wp:effectExtent l="0" t="0" r="635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74650" cy="10922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46685"/>
                  <wp:effectExtent l="0" t="0" r="635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74650" cy="14668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1</w:t>
            </w:r>
            <w:r>
              <w:rPr>
                <w:rFonts w:hAnsi="宋体"/>
                <w:sz w:val="18"/>
                <w:szCs w:val="18"/>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t>3</w:t>
            </w:r>
            <w:r>
              <w:rPr>
                <w:rFonts w:hint="eastAsia" w:hAnsi="宋体"/>
                <w:sz w:val="18"/>
                <w:szCs w:val="18"/>
              </w:rPr>
              <w:t>轴</w:t>
            </w: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中置轴挂车列车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842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74650" cy="9842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8585"/>
                  <wp:effectExtent l="0" t="0" r="635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74650" cy="108585"/>
                          </a:xfrm>
                          <a:prstGeom prst="rect">
                            <a:avLst/>
                          </a:prstGeom>
                          <a:noFill/>
                          <a:ln>
                            <a:noFill/>
                          </a:ln>
                        </pic:spPr>
                      </pic:pic>
                    </a:graphicData>
                  </a:graphic>
                </wp:inline>
              </w:drawing>
            </w:r>
          </w:p>
        </w:tc>
        <w:tc>
          <w:tcPr>
            <w:tcW w:w="979"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2</w:t>
            </w:r>
            <w:r>
              <w:rPr>
                <w:rFonts w:hAnsi="宋体"/>
                <w:sz w:val="18"/>
                <w:szCs w:val="18"/>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铰接列车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2710"/>
                  <wp:effectExtent l="0" t="0" r="635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74650" cy="9271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7315"/>
                  <wp:effectExtent l="0" t="0" r="635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74650" cy="107315"/>
                          </a:xfrm>
                          <a:prstGeom prst="rect">
                            <a:avLst/>
                          </a:prstGeom>
                          <a:noFill/>
                          <a:ln>
                            <a:noFill/>
                          </a:ln>
                        </pic:spPr>
                      </pic:pic>
                    </a:graphicData>
                  </a:graphic>
                </wp:inline>
              </w:drawing>
            </w:r>
          </w:p>
        </w:tc>
        <w:tc>
          <w:tcPr>
            <w:tcW w:w="979" w:type="pct"/>
            <w:vMerge w:val="continue"/>
            <w:shd w:val="clear" w:color="auto" w:fill="auto"/>
            <w:vAlign w:val="center"/>
          </w:tcPr>
          <w:p>
            <w:pPr>
              <w:pStyle w:val="56"/>
              <w:ind w:firstLine="0" w:firstLineChars="0"/>
              <w:jc w:val="center"/>
              <w:rPr>
                <w:rFonts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载货汽车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906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74650" cy="9906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0015"/>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74650" cy="120015"/>
                          </a:xfrm>
                          <a:prstGeom prst="rect">
                            <a:avLst/>
                          </a:prstGeom>
                          <a:noFill/>
                          <a:ln>
                            <a:noFill/>
                          </a:ln>
                        </pic:spPr>
                      </pic:pic>
                    </a:graphicData>
                  </a:graphic>
                </wp:inline>
              </w:drawing>
            </w:r>
          </w:p>
        </w:tc>
        <w:tc>
          <w:tcPr>
            <w:tcW w:w="979"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2</w:t>
            </w:r>
            <w:r>
              <w:rPr>
                <w:rFonts w:hAnsi="宋体"/>
                <w:sz w:val="18"/>
                <w:szCs w:val="18"/>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9855"/>
                  <wp:effectExtent l="0" t="0" r="635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74650" cy="10985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5095"/>
                  <wp:effectExtent l="0" t="0" r="635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74650" cy="125095"/>
                          </a:xfrm>
                          <a:prstGeom prst="rect">
                            <a:avLst/>
                          </a:prstGeom>
                          <a:noFill/>
                          <a:ln>
                            <a:noFill/>
                          </a:ln>
                        </pic:spPr>
                      </pic:pic>
                    </a:graphicData>
                  </a:graphic>
                </wp:inline>
              </w:drawing>
            </w:r>
          </w:p>
        </w:tc>
        <w:tc>
          <w:tcPr>
            <w:tcW w:w="979" w:type="pct"/>
            <w:vMerge w:val="continue"/>
            <w:shd w:val="clear" w:color="auto" w:fill="auto"/>
            <w:vAlign w:val="center"/>
          </w:tcPr>
          <w:p>
            <w:pPr>
              <w:pStyle w:val="56"/>
              <w:ind w:firstLine="0" w:firstLineChars="0"/>
              <w:jc w:val="center"/>
              <w:rPr>
                <w:rFonts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 w:hRule="atLeast"/>
          <w:jc w:val="center"/>
        </w:trPr>
        <w:tc>
          <w:tcPr>
            <w:tcW w:w="298"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4轴</w:t>
            </w: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中置轴挂车列车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5410"/>
                  <wp:effectExtent l="0" t="0" r="635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74650" cy="10541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8585"/>
                  <wp:effectExtent l="0" t="0" r="635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374650" cy="10858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3</w:t>
            </w:r>
            <w:r>
              <w:rPr>
                <w:rFonts w:hAns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3345"/>
                  <wp:effectExtent l="0" t="0" r="635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74650" cy="9334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033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74650" cy="100330"/>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3</w:t>
            </w:r>
            <w:r>
              <w:rPr>
                <w:rFonts w:hAnsi="宋体"/>
                <w:sz w:val="18"/>
                <w:szCs w:val="18"/>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铰接列车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287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74650" cy="10287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6205"/>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74650" cy="116205"/>
                          </a:xfrm>
                          <a:prstGeom prst="rect">
                            <a:avLst/>
                          </a:prstGeom>
                          <a:noFill/>
                          <a:ln>
                            <a:noFill/>
                          </a:ln>
                        </pic:spPr>
                      </pic:pic>
                    </a:graphicData>
                  </a:graphic>
                </wp:inline>
              </w:drawing>
            </w:r>
          </w:p>
        </w:tc>
        <w:tc>
          <w:tcPr>
            <w:tcW w:w="979"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t>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全挂汽车列车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525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74650" cy="9525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9695"/>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74650" cy="99695"/>
                          </a:xfrm>
                          <a:prstGeom prst="rect">
                            <a:avLst/>
                          </a:prstGeom>
                          <a:noFill/>
                          <a:ln>
                            <a:noFill/>
                          </a:ln>
                        </pic:spPr>
                      </pic:pic>
                    </a:graphicData>
                  </a:graphic>
                </wp:inline>
              </w:drawing>
            </w:r>
          </w:p>
        </w:tc>
        <w:tc>
          <w:tcPr>
            <w:tcW w:w="979" w:type="pct"/>
            <w:vMerge w:val="continue"/>
            <w:shd w:val="clear" w:color="auto" w:fill="auto"/>
            <w:vAlign w:val="center"/>
          </w:tcPr>
          <w:p>
            <w:pPr>
              <w:pStyle w:val="56"/>
              <w:ind w:firstLine="0" w:firstLineChars="0"/>
              <w:jc w:val="center"/>
              <w:rPr>
                <w:rFonts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载货汽车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3505"/>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74650" cy="10350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9220"/>
                  <wp:effectExtent l="0" t="0" r="635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74650" cy="109220"/>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3</w:t>
            </w:r>
            <w:r>
              <w:rPr>
                <w:rFonts w:hAnsi="宋体"/>
                <w:sz w:val="18"/>
                <w:szCs w:val="18"/>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t>5</w:t>
            </w:r>
            <w:r>
              <w:rPr>
                <w:rFonts w:hint="eastAsia" w:hAnsi="宋体"/>
                <w:sz w:val="18"/>
                <w:szCs w:val="18"/>
              </w:rPr>
              <w:t>轴</w:t>
            </w: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中置轴挂车列车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1125"/>
                  <wp:effectExtent l="0" t="0" r="635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74650" cy="11112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4935"/>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74650" cy="114935"/>
                          </a:xfrm>
                          <a:prstGeom prst="rect">
                            <a:avLst/>
                          </a:prstGeom>
                          <a:noFill/>
                          <a:ln>
                            <a:noFill/>
                          </a:ln>
                        </pic:spPr>
                      </pic:pic>
                    </a:graphicData>
                  </a:graphic>
                </wp:inline>
              </w:drawing>
            </w:r>
          </w:p>
        </w:tc>
        <w:tc>
          <w:tcPr>
            <w:tcW w:w="979"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1760"/>
                  <wp:effectExtent l="0" t="0" r="635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74650" cy="11176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06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74650" cy="120650"/>
                          </a:xfrm>
                          <a:prstGeom prst="rect">
                            <a:avLst/>
                          </a:prstGeom>
                          <a:noFill/>
                          <a:ln>
                            <a:noFill/>
                          </a:ln>
                        </pic:spPr>
                      </pic:pic>
                    </a:graphicData>
                  </a:graphic>
                </wp:inline>
              </w:drawing>
            </w:r>
          </w:p>
        </w:tc>
        <w:tc>
          <w:tcPr>
            <w:tcW w:w="979" w:type="pct"/>
            <w:vMerge w:val="continue"/>
            <w:shd w:val="clear" w:color="auto" w:fill="auto"/>
            <w:vAlign w:val="center"/>
          </w:tcPr>
          <w:p>
            <w:pPr>
              <w:pStyle w:val="56"/>
              <w:ind w:firstLine="0" w:firstLineChars="0"/>
              <w:jc w:val="center"/>
              <w:rPr>
                <w:rFonts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shd w:val="clear" w:color="auto" w:fill="auto"/>
            <w:vAlign w:val="center"/>
          </w:tcPr>
          <w:p>
            <w:pPr>
              <w:pStyle w:val="56"/>
              <w:ind w:firstLine="0" w:firstLineChars="0"/>
              <w:jc w:val="center"/>
              <w:rPr>
                <w:rFonts w:hAnsi="宋体"/>
                <w:sz w:val="18"/>
                <w:szCs w:val="18"/>
              </w:rPr>
            </w:pPr>
            <w:r>
              <w:rPr>
                <w:rFonts w:hint="eastAsia" w:hAnsi="宋体"/>
                <w:sz w:val="18"/>
                <w:szCs w:val="18"/>
              </w:rPr>
              <w:t>铰接列车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43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74650" cy="11430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192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74650" cy="121920"/>
                          </a:xfrm>
                          <a:prstGeom prst="rect">
                            <a:avLst/>
                          </a:prstGeom>
                          <a:noFill/>
                          <a:ln>
                            <a:noFill/>
                          </a:ln>
                        </pic:spPr>
                      </pic:pic>
                    </a:graphicData>
                  </a:graphic>
                </wp:inline>
              </w:drawing>
            </w:r>
          </w:p>
        </w:tc>
        <w:tc>
          <w:tcPr>
            <w:tcW w:w="979" w:type="pct"/>
            <w:vMerge w:val="continue"/>
            <w:shd w:val="clear" w:color="auto" w:fill="auto"/>
            <w:vAlign w:val="center"/>
          </w:tcPr>
          <w:p>
            <w:pPr>
              <w:pStyle w:val="56"/>
              <w:ind w:firstLine="0" w:firstLineChars="0"/>
              <w:jc w:val="center"/>
              <w:rPr>
                <w:rFonts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铰接列车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969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74650" cy="9969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3665"/>
                  <wp:effectExtent l="0" t="0" r="635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74650" cy="11366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1125"/>
                  <wp:effectExtent l="0" t="0" r="635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74650" cy="11112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4775"/>
                  <wp:effectExtent l="0" t="0" r="635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74650" cy="10477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全挂汽车列车</w:t>
            </w: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2710"/>
                  <wp:effectExtent l="0" t="0" r="635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74650" cy="9271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87630"/>
                  <wp:effectExtent l="0" t="0" r="635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374650" cy="87630"/>
                          </a:xfrm>
                          <a:prstGeom prst="rect">
                            <a:avLst/>
                          </a:prstGeom>
                          <a:noFill/>
                          <a:ln>
                            <a:noFill/>
                          </a:ln>
                        </pic:spPr>
                      </pic:pic>
                    </a:graphicData>
                  </a:graphic>
                </wp:inline>
              </w:drawing>
            </w:r>
          </w:p>
        </w:tc>
        <w:tc>
          <w:tcPr>
            <w:tcW w:w="979"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0805"/>
                  <wp:effectExtent l="0" t="0" r="635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74650" cy="9080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8445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74650" cy="84455"/>
                          </a:xfrm>
                          <a:prstGeom prst="rect">
                            <a:avLst/>
                          </a:prstGeom>
                          <a:noFill/>
                          <a:ln>
                            <a:noFill/>
                          </a:ln>
                        </pic:spPr>
                      </pic:pic>
                    </a:graphicData>
                  </a:graphic>
                </wp:inline>
              </w:drawing>
            </w:r>
          </w:p>
        </w:tc>
        <w:tc>
          <w:tcPr>
            <w:tcW w:w="979" w:type="pct"/>
            <w:vMerge w:val="continue"/>
            <w:shd w:val="clear" w:color="auto" w:fill="auto"/>
            <w:vAlign w:val="center"/>
          </w:tcPr>
          <w:p>
            <w:pPr>
              <w:pStyle w:val="56"/>
              <w:ind w:firstLine="0" w:firstLineChars="0"/>
              <w:jc w:val="center"/>
              <w:rPr>
                <w:rFonts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t>6</w:t>
            </w:r>
            <w:r>
              <w:rPr>
                <w:rFonts w:hint="eastAsia" w:hAnsi="宋体"/>
                <w:sz w:val="18"/>
                <w:szCs w:val="18"/>
              </w:rPr>
              <w:t>轴</w:t>
            </w: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中置轴挂车列车</w:t>
            </w:r>
          </w:p>
        </w:tc>
        <w:tc>
          <w:tcPr>
            <w:tcW w:w="1139"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287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374650" cy="10287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319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74650" cy="123190"/>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vMerge w:val="continue"/>
            <w:shd w:val="clear" w:color="auto" w:fill="auto"/>
            <w:vAlign w:val="center"/>
          </w:tcPr>
          <w:p>
            <w:pPr>
              <w:pStyle w:val="56"/>
              <w:ind w:firstLine="0" w:firstLineChars="0"/>
              <w:jc w:val="center"/>
              <w:rPr>
                <w:rFonts w:hAnsi="宋体"/>
                <w:sz w:val="18"/>
                <w:szCs w:val="18"/>
              </w:rPr>
            </w:pP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6365"/>
                  <wp:effectExtent l="0" t="0" r="63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74650" cy="12636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2075"/>
                  <wp:effectExtent l="0" t="0" r="635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74650" cy="9207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9715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74650" cy="9715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vMerge w:val="continue"/>
            <w:shd w:val="clear" w:color="auto" w:fill="auto"/>
            <w:vAlign w:val="center"/>
          </w:tcPr>
          <w:p>
            <w:pPr>
              <w:pStyle w:val="56"/>
              <w:ind w:firstLine="0" w:firstLineChars="0"/>
              <w:jc w:val="center"/>
              <w:rPr>
                <w:rFonts w:hAnsi="宋体"/>
                <w:sz w:val="18"/>
                <w:szCs w:val="18"/>
              </w:rPr>
            </w:pP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096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74650" cy="10096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铰接列车</w:t>
            </w:r>
          </w:p>
        </w:tc>
        <w:tc>
          <w:tcPr>
            <w:tcW w:w="1139"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70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74650" cy="12700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319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74650" cy="123190"/>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vMerge w:val="continue"/>
            <w:shd w:val="clear" w:color="auto" w:fill="auto"/>
            <w:vAlign w:val="center"/>
          </w:tcPr>
          <w:p>
            <w:pPr>
              <w:pStyle w:val="56"/>
              <w:ind w:firstLine="0" w:firstLineChars="0"/>
              <w:jc w:val="center"/>
              <w:rPr>
                <w:rFonts w:hAnsi="宋体"/>
                <w:sz w:val="18"/>
                <w:szCs w:val="18"/>
              </w:rPr>
            </w:pP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1874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74650" cy="11874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79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74650" cy="107950"/>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28905"/>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74650" cy="12890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restart"/>
            <w:shd w:val="clear" w:color="auto" w:fill="auto"/>
            <w:vAlign w:val="center"/>
          </w:tcPr>
          <w:p>
            <w:pPr>
              <w:pStyle w:val="56"/>
              <w:ind w:firstLine="0" w:firstLineChars="0"/>
              <w:jc w:val="center"/>
              <w:rPr>
                <w:rFonts w:hAnsi="宋体"/>
                <w:sz w:val="18"/>
                <w:szCs w:val="18"/>
              </w:rPr>
            </w:pPr>
            <w:r>
              <w:rPr>
                <w:rFonts w:hint="eastAsia" w:hAnsi="宋体"/>
                <w:sz w:val="18"/>
                <w:szCs w:val="18"/>
              </w:rPr>
              <w:t>全挂列车</w:t>
            </w:r>
          </w:p>
        </w:tc>
        <w:tc>
          <w:tcPr>
            <w:tcW w:w="1139" w:type="pct"/>
            <w:vMerge w:val="restar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223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374650" cy="102235"/>
                          </a:xfrm>
                          <a:prstGeom prst="rect">
                            <a:avLst/>
                          </a:prstGeom>
                          <a:noFill/>
                          <a:ln>
                            <a:noFill/>
                          </a:ln>
                        </pic:spPr>
                      </pic:pic>
                    </a:graphicData>
                  </a:graphic>
                </wp:inline>
              </w:drawing>
            </w: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10096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374650" cy="10096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98" w:type="pct"/>
            <w:vMerge w:val="continue"/>
            <w:shd w:val="clear" w:color="auto" w:fill="auto"/>
            <w:vAlign w:val="center"/>
          </w:tcPr>
          <w:p>
            <w:pPr>
              <w:pStyle w:val="56"/>
              <w:ind w:firstLine="0" w:firstLineChars="0"/>
              <w:jc w:val="center"/>
              <w:rPr>
                <w:rFonts w:hAnsi="宋体"/>
                <w:sz w:val="18"/>
                <w:szCs w:val="18"/>
              </w:rPr>
            </w:pPr>
          </w:p>
        </w:tc>
        <w:tc>
          <w:tcPr>
            <w:tcW w:w="1444" w:type="pct"/>
            <w:vMerge w:val="continue"/>
            <w:shd w:val="clear" w:color="auto" w:fill="auto"/>
            <w:vAlign w:val="center"/>
          </w:tcPr>
          <w:p>
            <w:pPr>
              <w:pStyle w:val="56"/>
              <w:ind w:firstLine="0" w:firstLineChars="0"/>
              <w:jc w:val="center"/>
              <w:rPr>
                <w:rFonts w:hAnsi="宋体"/>
                <w:sz w:val="18"/>
                <w:szCs w:val="18"/>
              </w:rPr>
            </w:pPr>
          </w:p>
        </w:tc>
        <w:tc>
          <w:tcPr>
            <w:tcW w:w="1139" w:type="pct"/>
            <w:vMerge w:val="continue"/>
            <w:shd w:val="clear" w:color="auto" w:fill="auto"/>
            <w:vAlign w:val="center"/>
          </w:tcPr>
          <w:p>
            <w:pPr>
              <w:pStyle w:val="56"/>
              <w:ind w:firstLine="0" w:firstLineChars="0"/>
              <w:jc w:val="center"/>
              <w:rPr>
                <w:rFonts w:hAnsi="宋体"/>
                <w:sz w:val="18"/>
                <w:szCs w:val="18"/>
              </w:rPr>
            </w:pPr>
          </w:p>
        </w:tc>
        <w:tc>
          <w:tcPr>
            <w:tcW w:w="1140" w:type="pct"/>
            <w:shd w:val="clear" w:color="auto" w:fill="auto"/>
            <w:vAlign w:val="center"/>
          </w:tcPr>
          <w:p>
            <w:pPr>
              <w:pStyle w:val="56"/>
              <w:ind w:firstLine="0" w:firstLineChars="0"/>
              <w:jc w:val="center"/>
              <w:rPr>
                <w:rFonts w:hAnsi="宋体"/>
                <w:sz w:val="18"/>
                <w:szCs w:val="18"/>
              </w:rPr>
            </w:pPr>
            <w:r>
              <w:rPr>
                <w:rFonts w:hAnsi="宋体"/>
                <w:sz w:val="18"/>
                <w:szCs w:val="18"/>
              </w:rPr>
              <w:drawing>
                <wp:inline distT="0" distB="0" distL="0" distR="0">
                  <wp:extent cx="374650" cy="88265"/>
                  <wp:effectExtent l="0" t="0" r="635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374650" cy="88265"/>
                          </a:xfrm>
                          <a:prstGeom prst="rect">
                            <a:avLst/>
                          </a:prstGeom>
                          <a:noFill/>
                          <a:ln>
                            <a:noFill/>
                          </a:ln>
                        </pic:spPr>
                      </pic:pic>
                    </a:graphicData>
                  </a:graphic>
                </wp:inline>
              </w:drawing>
            </w:r>
          </w:p>
        </w:tc>
        <w:tc>
          <w:tcPr>
            <w:tcW w:w="979" w:type="pct"/>
            <w:shd w:val="clear" w:color="auto" w:fill="auto"/>
            <w:vAlign w:val="center"/>
          </w:tcPr>
          <w:p>
            <w:pPr>
              <w:pStyle w:val="56"/>
              <w:ind w:firstLine="0" w:firstLineChars="0"/>
              <w:jc w:val="center"/>
              <w:rPr>
                <w:rFonts w:hAnsi="宋体"/>
                <w:sz w:val="18"/>
                <w:szCs w:val="18"/>
              </w:rPr>
            </w:pPr>
            <w:r>
              <w:rPr>
                <w:rFonts w:hint="eastAsia" w:hAnsi="宋体"/>
                <w:sz w:val="18"/>
                <w:szCs w:val="18"/>
              </w:rPr>
              <w:t>4</w:t>
            </w:r>
            <w:r>
              <w:rPr>
                <w:rFonts w:hAns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17" w:hRule="atLeast"/>
          <w:jc w:val="center"/>
        </w:trPr>
        <w:tc>
          <w:tcPr>
            <w:tcW w:w="298" w:type="pct"/>
            <w:shd w:val="clear" w:color="auto" w:fill="auto"/>
            <w:vAlign w:val="center"/>
          </w:tcPr>
          <w:p>
            <w:pPr>
              <w:pStyle w:val="56"/>
              <w:ind w:firstLine="0" w:firstLineChars="0"/>
              <w:jc w:val="center"/>
              <w:rPr>
                <w:rFonts w:hAnsi="宋体"/>
                <w:sz w:val="18"/>
                <w:szCs w:val="18"/>
              </w:rPr>
            </w:pPr>
            <w:r>
              <w:rPr>
                <w:rFonts w:hint="eastAsia" w:hAnsi="宋体"/>
                <w:sz w:val="18"/>
                <w:szCs w:val="18"/>
              </w:rPr>
              <w:t>备注</w:t>
            </w:r>
          </w:p>
        </w:tc>
        <w:tc>
          <w:tcPr>
            <w:tcW w:w="4702" w:type="pct"/>
            <w:gridSpan w:val="4"/>
            <w:shd w:val="clear" w:color="auto" w:fill="auto"/>
            <w:vAlign w:val="center"/>
          </w:tcPr>
          <w:p>
            <w:pPr>
              <w:pStyle w:val="56"/>
              <w:adjustRightInd w:val="0"/>
              <w:snapToGrid w:val="0"/>
              <w:spacing w:line="150" w:lineRule="exact"/>
              <w:ind w:firstLine="0" w:firstLineChars="0"/>
              <w:rPr>
                <w:rFonts w:hAnsi="宋体"/>
                <w:sz w:val="13"/>
                <w:szCs w:val="13"/>
              </w:rPr>
            </w:pPr>
            <w:r>
              <w:rPr>
                <w:rFonts w:hint="eastAsia" w:hAnsi="宋体"/>
                <w:sz w:val="13"/>
                <w:szCs w:val="13"/>
              </w:rPr>
              <w:t>1．二轴货车车货总重还应当不超过行驶证标明的总质量。</w:t>
            </w:r>
          </w:p>
          <w:p>
            <w:pPr>
              <w:pStyle w:val="56"/>
              <w:adjustRightInd w:val="0"/>
              <w:snapToGrid w:val="0"/>
              <w:spacing w:line="150" w:lineRule="exact"/>
              <w:ind w:firstLine="0" w:firstLineChars="0"/>
              <w:rPr>
                <w:rFonts w:hAnsi="宋体"/>
                <w:sz w:val="13"/>
                <w:szCs w:val="13"/>
              </w:rPr>
            </w:pPr>
            <w:r>
              <w:rPr>
                <w:rFonts w:hint="eastAsia" w:hAnsi="宋体"/>
                <w:sz w:val="13"/>
                <w:szCs w:val="13"/>
              </w:rPr>
              <w:t>2．除驱动轴外，图例中的二轴组、三轴组以及半挂车和全挂车，每减少两个轮胎，其总质量限值减少3吨。</w:t>
            </w:r>
          </w:p>
          <w:p>
            <w:pPr>
              <w:pStyle w:val="56"/>
              <w:adjustRightInd w:val="0"/>
              <w:snapToGrid w:val="0"/>
              <w:spacing w:line="150" w:lineRule="exact"/>
              <w:ind w:firstLine="0" w:firstLineChars="0"/>
              <w:rPr>
                <w:rFonts w:hAnsi="宋体"/>
                <w:sz w:val="13"/>
                <w:szCs w:val="13"/>
              </w:rPr>
            </w:pPr>
            <w:r>
              <w:rPr>
                <w:rFonts w:hint="eastAsia" w:hAnsi="宋体"/>
                <w:sz w:val="13"/>
                <w:szCs w:val="13"/>
              </w:rPr>
              <w:t>3．安装名义断面宽度不小于425mm轮胎的挂车及其组成的汽车列车，驱动轴安装名义断面宽度不小于445mm轮胎的载货汽车及其组成的汽车列车，其总质量限值不予核减。</w:t>
            </w:r>
          </w:p>
          <w:p>
            <w:pPr>
              <w:pStyle w:val="56"/>
              <w:adjustRightInd w:val="0"/>
              <w:snapToGrid w:val="0"/>
              <w:spacing w:line="150" w:lineRule="exact"/>
              <w:ind w:firstLine="0" w:firstLineChars="0"/>
              <w:rPr>
                <w:rFonts w:hAnsi="宋体"/>
                <w:sz w:val="13"/>
                <w:szCs w:val="13"/>
              </w:rPr>
            </w:pPr>
            <w:r>
              <w:rPr>
                <w:rFonts w:hint="eastAsia" w:hAnsi="宋体"/>
                <w:sz w:val="13"/>
                <w:szCs w:val="13"/>
              </w:rPr>
              <w:t>4．驱动轴为每轴每侧双轮胎且装备空气悬架时，3轴和4轴货车的总质量限值各增加1吨；驱动轴为每轴每侧双轮胎并装备空气悬架、且半挂车的两轴之间的距离d ≥1800mm的4轴铰接列车，总质量限值为37吨。</w:t>
            </w:r>
          </w:p>
          <w:p>
            <w:pPr>
              <w:pStyle w:val="56"/>
              <w:adjustRightInd w:val="0"/>
              <w:snapToGrid w:val="0"/>
              <w:spacing w:line="150" w:lineRule="exact"/>
              <w:ind w:firstLine="0" w:firstLineChars="0"/>
              <w:rPr>
                <w:rFonts w:hAnsi="宋体"/>
                <w:sz w:val="13"/>
                <w:szCs w:val="13"/>
              </w:rPr>
            </w:pPr>
            <w:r>
              <w:rPr>
                <w:rFonts w:hint="eastAsia" w:hAnsi="宋体"/>
                <w:sz w:val="13"/>
                <w:szCs w:val="13"/>
              </w:rPr>
              <w:t>5．图例中未列车型，根据《汽车、挂车及汽车列车外廓尺寸、轴荷及质量限值》（GB1589—2016）规定，确定相应的总质量限值。</w:t>
            </w:r>
          </w:p>
          <w:p>
            <w:pPr>
              <w:pStyle w:val="56"/>
              <w:adjustRightInd w:val="0"/>
              <w:snapToGrid w:val="0"/>
              <w:spacing w:line="150" w:lineRule="exact"/>
              <w:ind w:firstLine="0" w:firstLineChars="0"/>
              <w:rPr>
                <w:rFonts w:hAnsi="宋体"/>
                <w:sz w:val="13"/>
                <w:szCs w:val="13"/>
              </w:rPr>
            </w:pPr>
            <w:r>
              <w:rPr>
                <w:rFonts w:hint="eastAsia" w:hAnsi="宋体"/>
                <w:sz w:val="13"/>
                <w:szCs w:val="13"/>
              </w:rPr>
              <w:t>6．对于车货外廓尺寸超限行为，按照国家有关部门的统一部署，分阶段有步骤地推进。在部署工作开展前，暂不对外廓尺寸进行检查。</w:t>
            </w:r>
          </w:p>
          <w:p>
            <w:pPr>
              <w:pStyle w:val="56"/>
              <w:adjustRightInd w:val="0"/>
              <w:snapToGrid w:val="0"/>
              <w:spacing w:line="150" w:lineRule="exact"/>
              <w:ind w:firstLine="0" w:firstLineChars="0"/>
              <w:rPr>
                <w:rFonts w:hAnsi="宋体"/>
                <w:sz w:val="13"/>
                <w:szCs w:val="13"/>
              </w:rPr>
            </w:pPr>
            <w:r>
              <w:rPr>
                <w:rFonts w:hint="eastAsia" w:hAnsi="宋体"/>
                <w:sz w:val="13"/>
                <w:szCs w:val="13"/>
              </w:rPr>
              <w:t>7．危险化学品运输车辆违法超限超载的，由公安机关依据《危险化学品安全管理条例》第八十八条的有关规定进行处罚。</w:t>
            </w:r>
          </w:p>
          <w:p>
            <w:pPr>
              <w:pStyle w:val="56"/>
              <w:adjustRightInd w:val="0"/>
              <w:snapToGrid w:val="0"/>
              <w:spacing w:line="150" w:lineRule="exact"/>
              <w:ind w:firstLine="0" w:firstLineChars="0"/>
              <w:rPr>
                <w:rFonts w:hAnsi="宋体"/>
                <w:sz w:val="13"/>
                <w:szCs w:val="13"/>
              </w:rPr>
            </w:pPr>
            <w:r>
              <w:rPr>
                <w:rFonts w:hint="eastAsia" w:hAnsi="宋体"/>
                <w:sz w:val="13"/>
                <w:szCs w:val="13"/>
              </w:rPr>
              <w:t>8．运输鲜活农产品车辆违法超限超载运输的，通行收费公路时，该运次不得给予免收车辆通行费的优惠政策；通行非收费公路时，以批评教育为主，暂不实施处罚。</w:t>
            </w:r>
          </w:p>
          <w:p>
            <w:pPr>
              <w:pStyle w:val="56"/>
              <w:adjustRightInd w:val="0"/>
              <w:snapToGrid w:val="0"/>
              <w:spacing w:line="150" w:lineRule="exact"/>
              <w:ind w:firstLine="0" w:firstLineChars="0"/>
              <w:rPr>
                <w:rFonts w:hAnsi="宋体"/>
                <w:sz w:val="13"/>
                <w:szCs w:val="13"/>
              </w:rPr>
            </w:pPr>
            <w:r>
              <w:rPr>
                <w:rFonts w:hint="eastAsia" w:hAnsi="宋体"/>
                <w:sz w:val="13"/>
                <w:szCs w:val="13"/>
              </w:rPr>
              <w:t>9．载运标准集装箱的挂车列车的整治工作另行部署，在专项整治前，重点检查其车货总质量是否超过限载标准的行为，暂不对外廓尺寸进行检查。</w:t>
            </w:r>
          </w:p>
          <w:p>
            <w:pPr>
              <w:pStyle w:val="56"/>
              <w:adjustRightInd w:val="0"/>
              <w:snapToGrid w:val="0"/>
              <w:spacing w:line="150" w:lineRule="exact"/>
              <w:ind w:firstLine="0" w:firstLineChars="0"/>
              <w:rPr>
                <w:rFonts w:hAnsi="宋体"/>
                <w:sz w:val="18"/>
                <w:szCs w:val="18"/>
              </w:rPr>
            </w:pPr>
            <w:r>
              <w:rPr>
                <w:rFonts w:hint="eastAsia" w:hAnsi="宋体"/>
                <w:sz w:val="13"/>
                <w:szCs w:val="13"/>
              </w:rPr>
              <w:t>10．低平板半挂车运输普通货物的整治工作另行部署，在专项整治前，重点查纠其车货总质量超过限载标准和假牌套牌违法行为。</w:t>
            </w:r>
          </w:p>
        </w:tc>
      </w:tr>
      <w:bookmarkEnd w:id="203"/>
      <w:bookmarkEnd w:id="204"/>
    </w:tbl>
    <w:p>
      <w:pPr>
        <w:pStyle w:val="77"/>
        <w:numPr>
          <w:ilvl w:val="0"/>
          <w:numId w:val="0"/>
        </w:numPr>
        <w:spacing w:before="156" w:after="156"/>
        <w:jc w:val="both"/>
        <w:sectPr>
          <w:headerReference r:id="rId23" w:type="default"/>
          <w:footerReference r:id="rId25" w:type="default"/>
          <w:headerReference r:id="rId24" w:type="even"/>
          <w:footerReference r:id="rId26"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205" w:name="_Toc134194756"/>
      <w:bookmarkStart w:id="206" w:name="_Toc134175157"/>
      <w:bookmarkStart w:id="207" w:name="_Toc134195233"/>
      <w:bookmarkStart w:id="208" w:name="_Toc134175663"/>
      <w:bookmarkStart w:id="209" w:name="_Toc134174285"/>
      <w:bookmarkStart w:id="210" w:name="_Toc134112276"/>
      <w:bookmarkStart w:id="211" w:name="_Toc134112895"/>
      <w:bookmarkStart w:id="212" w:name="_Toc134175276"/>
      <w:bookmarkStart w:id="213" w:name="_Toc134175476"/>
      <w:bookmarkStart w:id="214" w:name="_Toc134186373"/>
      <w:bookmarkStart w:id="215" w:name="_Toc135404391"/>
    </w:p>
    <w:p>
      <w:pPr>
        <w:pStyle w:val="76"/>
        <w:spacing w:after="156"/>
      </w:pPr>
      <w:r>
        <w:rPr>
          <w:rFonts w:hint="eastAsia"/>
        </w:rPr>
        <w:t>（资料性）</w:t>
      </w:r>
      <w:bookmarkStart w:id="216" w:name="_Hlk134103209"/>
    </w:p>
    <w:p>
      <w:pPr>
        <w:pStyle w:val="76"/>
        <w:spacing w:after="156"/>
      </w:pPr>
      <w:r>
        <w:rPr>
          <w:rFonts w:hint="eastAsia"/>
        </w:rPr>
        <w:t>江苏省道路货运运单</w:t>
      </w:r>
      <w:bookmarkEnd w:id="205"/>
      <w:bookmarkEnd w:id="206"/>
      <w:bookmarkEnd w:id="207"/>
      <w:bookmarkEnd w:id="208"/>
      <w:bookmarkEnd w:id="209"/>
      <w:bookmarkEnd w:id="210"/>
      <w:bookmarkEnd w:id="211"/>
      <w:bookmarkEnd w:id="212"/>
      <w:bookmarkEnd w:id="213"/>
      <w:bookmarkEnd w:id="214"/>
      <w:bookmarkEnd w:id="215"/>
      <w:bookmarkEnd w:id="216"/>
    </w:p>
    <w:p>
      <w:pPr>
        <w:pStyle w:val="77"/>
        <w:spacing w:before="156" w:after="156"/>
        <w:sectPr>
          <w:headerReference r:id="rId27" w:type="default"/>
          <w:footerReference r:id="rId29" w:type="default"/>
          <w:headerReference r:id="rId28" w:type="even"/>
          <w:footerReference r:id="rId30" w:type="even"/>
          <w:pgSz w:w="11906" w:h="16838"/>
          <w:pgMar w:top="1928" w:right="1134" w:bottom="1134" w:left="1134" w:header="1418" w:footer="1134" w:gutter="284"/>
          <w:cols w:space="425" w:num="1"/>
          <w:formProt w:val="0"/>
          <w:docGrid w:type="lines" w:linePitch="312" w:charSpace="0"/>
        </w:sectPr>
      </w:pPr>
    </w:p>
    <w:p>
      <w:pPr>
        <w:rPr>
          <w:sz w:val="28"/>
          <w:szCs w:val="28"/>
        </w:rPr>
      </w:pPr>
      <w:r>
        <w:rPr>
          <w:rFonts w:hint="eastAsia"/>
          <w:sz w:val="28"/>
          <w:szCs w:val="28"/>
        </w:rPr>
        <w:t>江苏省道路货运运单</w:t>
      </w:r>
      <w:r>
        <w:rPr>
          <w:rFonts w:hint="eastAsia"/>
          <w:sz w:val="16"/>
          <w:szCs w:val="16"/>
        </w:rPr>
        <w:t>（存根联）</w:t>
      </w:r>
    </w:p>
    <w:p>
      <w:r>
        <w:rPr>
          <w:rFonts w:hint="eastAsia"/>
        </w:rPr>
        <w:t>运单编号：</w:t>
      </w:r>
    </w:p>
    <w:p>
      <w:r>
        <w:rPr>
          <w:rFonts w:hint="eastAsia"/>
        </w:rPr>
        <w:t>货物装载源头单位：（盖章）</w:t>
      </w:r>
    </w:p>
    <w:p>
      <w:r>
        <w:rPr>
          <w:rFonts w:hint="eastAsia"/>
        </w:rPr>
        <w:t>货物装载源头单位联系电话：</w:t>
      </w:r>
    </w:p>
    <w:p>
      <w:r>
        <w:rPr>
          <w:rFonts w:hint="eastAsia"/>
        </w:rPr>
        <w:t>道路运输经营者名称：</w:t>
      </w:r>
    </w:p>
    <w:p>
      <w:r>
        <w:rPr>
          <w:rFonts w:hint="eastAsia"/>
        </w:rPr>
        <w:t>车辆号牌：</w:t>
      </w:r>
      <w:r>
        <w:rPr>
          <w:rFonts w:hint="eastAsia"/>
          <w:u w:val="single"/>
        </w:rPr>
        <w:t xml:space="preserve">                  </w:t>
      </w:r>
      <w:r>
        <w:rPr>
          <w:rFonts w:hint="eastAsia"/>
        </w:rPr>
        <w:t>（黄）</w:t>
      </w:r>
    </w:p>
    <w:p>
      <w:r>
        <w:rPr>
          <w:rFonts w:hint="eastAsia"/>
        </w:rPr>
        <w:t>车辆道路运输证号：</w:t>
      </w:r>
    </w:p>
    <w:p>
      <w:r>
        <w:rPr>
          <w:rFonts w:hint="eastAsia"/>
        </w:rPr>
        <w:t>挂车号牌：</w:t>
      </w:r>
      <w:r>
        <w:rPr>
          <w:rFonts w:hint="eastAsia"/>
          <w:u w:val="single"/>
        </w:rPr>
        <w:t xml:space="preserve">                  </w:t>
      </w:r>
      <w:r>
        <w:rPr>
          <w:rFonts w:hint="eastAsia"/>
        </w:rPr>
        <w:t>（黄）</w:t>
      </w:r>
    </w:p>
    <w:p>
      <w:r>
        <w:rPr>
          <w:rFonts w:hint="eastAsia"/>
        </w:rPr>
        <w:t>挂车道路运输证号：</w:t>
      </w:r>
    </w:p>
    <w:p>
      <w:r>
        <w:rPr>
          <w:rFonts w:hint="eastAsia"/>
        </w:rPr>
        <w:t>轴型：</w:t>
      </w:r>
      <w:r>
        <w:rPr>
          <w:rFonts w:hint="eastAsia"/>
          <w:u w:val="single"/>
        </w:rPr>
        <w:t xml:space="preserve">      </w:t>
      </w:r>
      <w:r>
        <w:rPr>
          <w:rFonts w:hint="eastAsia"/>
        </w:rPr>
        <w:t>轴；车货总质量限值：</w:t>
      </w:r>
      <w:r>
        <w:rPr>
          <w:rFonts w:hint="eastAsia"/>
          <w:u w:val="single"/>
        </w:rPr>
        <w:t xml:space="preserve">           </w:t>
      </w:r>
      <w:r>
        <w:rPr>
          <w:rFonts w:hint="eastAsia"/>
        </w:rPr>
        <w:t>吨</w:t>
      </w:r>
    </w:p>
    <w:p>
      <w:r>
        <w:rPr>
          <w:rFonts w:hint="eastAsia"/>
        </w:rPr>
        <w:t>出场（站）时间：</w:t>
      </w:r>
    </w:p>
    <w:p>
      <w:pPr>
        <w:rPr>
          <w:rFonts w:hint="eastAsia" w:eastAsia="宋体"/>
          <w:lang w:eastAsia="zh-CN"/>
        </w:rPr>
      </w:pPr>
      <w:r>
        <w:rPr>
          <w:rFonts w:hint="eastAsia"/>
        </w:rPr>
        <w:t>驾驶员姓名：</w:t>
      </w:r>
    </w:p>
    <w:p>
      <w:r>
        <w:rPr>
          <w:rFonts w:hint="eastAsia"/>
        </w:rPr>
        <w:t>驾驶员从业资格证号：</w:t>
      </w:r>
    </w:p>
    <w:p>
      <w:r>
        <w:rPr>
          <w:rFonts w:hint="eastAsia"/>
        </w:rPr>
        <w:t>货物品种：</w:t>
      </w:r>
    </w:p>
    <w:p>
      <w:r>
        <w:rPr>
          <w:rFonts w:hint="eastAsia"/>
        </w:rPr>
        <w:t>车货总重：</w:t>
      </w:r>
      <w:r>
        <w:rPr>
          <w:rFonts w:hint="eastAsia"/>
          <w:u w:val="single"/>
        </w:rPr>
        <w:t xml:space="preserve">              </w:t>
      </w:r>
      <w:r>
        <w:rPr>
          <w:rFonts w:hint="eastAsia"/>
        </w:rPr>
        <w:t>吨</w:t>
      </w:r>
    </w:p>
    <w:p>
      <w:r>
        <w:rPr>
          <w:rFonts w:hint="eastAsia"/>
        </w:rPr>
        <w:t>起运地：</w:t>
      </w:r>
    </w:p>
    <w:p>
      <w:r>
        <w:rPr>
          <w:rFonts w:hint="eastAsia"/>
        </w:rPr>
        <w:t>托运单位：</w:t>
      </w:r>
    </w:p>
    <w:p>
      <w:r>
        <w:rPr>
          <w:rFonts w:hint="eastAsia"/>
        </w:rPr>
        <w:t>送达地：</w:t>
      </w:r>
    </w:p>
    <w:p>
      <w:pPr>
        <w:rPr>
          <w:rFonts w:hint="eastAsia" w:eastAsia="宋体"/>
          <w:lang w:eastAsia="zh-CN"/>
        </w:rPr>
      </w:pPr>
      <w:r>
        <w:rPr>
          <w:rFonts w:hint="eastAsia"/>
        </w:rPr>
        <w:t>收货单位：</w:t>
      </w:r>
    </w:p>
    <w:p>
      <w:pPr>
        <w:rPr>
          <w:rFonts w:hint="eastAsia" w:eastAsia="宋体"/>
          <w:lang w:eastAsia="zh-CN"/>
        </w:rPr>
      </w:pPr>
    </w:p>
    <w:p/>
    <w:p/>
    <w:p/>
    <w:p/>
    <w:p/>
    <w:p/>
    <w:p/>
    <w:p/>
    <w:p>
      <w:pPr>
        <w:rPr>
          <w:sz w:val="28"/>
          <w:szCs w:val="28"/>
        </w:rPr>
      </w:pPr>
      <w:r>
        <w:rPr>
          <w:sz w:val="28"/>
          <w:szCs w:val="28"/>
        </w:rPr>
        <w:br w:type="column"/>
      </w:r>
      <w:r>
        <w:rPr>
          <w:rFonts w:hint="eastAsia"/>
          <w:sz w:val="28"/>
          <w:szCs w:val="28"/>
        </w:rPr>
        <w:t>江苏省道路货运运单</w:t>
      </w:r>
      <w:r>
        <w:rPr>
          <w:rFonts w:hint="eastAsia"/>
          <w:sz w:val="16"/>
          <w:szCs w:val="16"/>
        </w:rPr>
        <w:t>（随车备查联）</w:t>
      </w:r>
    </w:p>
    <w:p>
      <w:r>
        <w:rPr>
          <w:rFonts w:hint="eastAsia"/>
        </w:rPr>
        <w:t>运单编号：</w:t>
      </w:r>
    </w:p>
    <w:p>
      <w:r>
        <w:rPr>
          <w:rFonts w:hint="eastAsia"/>
        </w:rPr>
        <w:t>货物装载源头单位：（盖章）</w:t>
      </w:r>
    </w:p>
    <w:p>
      <w:r>
        <w:rPr>
          <w:rFonts w:hint="eastAsia"/>
        </w:rPr>
        <w:t>货物装载源头单位联系电话：</w:t>
      </w:r>
    </w:p>
    <w:p>
      <w:r>
        <w:rPr>
          <w:rFonts w:hint="eastAsia"/>
        </w:rPr>
        <w:t>道路运输经营者名称：</w:t>
      </w:r>
    </w:p>
    <w:p>
      <w:r>
        <w:rPr>
          <w:rFonts w:hint="eastAsia"/>
        </w:rPr>
        <w:t>车辆号牌：</w:t>
      </w:r>
      <w:r>
        <w:rPr>
          <w:rFonts w:hint="eastAsia"/>
          <w:u w:val="single"/>
        </w:rPr>
        <w:t xml:space="preserve">                  </w:t>
      </w:r>
      <w:r>
        <w:rPr>
          <w:rFonts w:hint="eastAsia"/>
        </w:rPr>
        <w:t>（黄）</w:t>
      </w:r>
    </w:p>
    <w:p>
      <w:r>
        <w:rPr>
          <w:rFonts w:hint="eastAsia"/>
        </w:rPr>
        <w:t>车辆道路运输证号：</w:t>
      </w:r>
    </w:p>
    <w:p>
      <w:r>
        <w:rPr>
          <w:rFonts w:hint="eastAsia"/>
        </w:rPr>
        <w:t>挂车号牌：</w:t>
      </w:r>
      <w:r>
        <w:rPr>
          <w:rFonts w:hint="eastAsia"/>
          <w:u w:val="single"/>
        </w:rPr>
        <w:t xml:space="preserve">                  </w:t>
      </w:r>
      <w:r>
        <w:rPr>
          <w:rFonts w:hint="eastAsia"/>
        </w:rPr>
        <w:t>（黄）</w:t>
      </w:r>
    </w:p>
    <w:p>
      <w:r>
        <w:rPr>
          <w:rFonts w:hint="eastAsia"/>
        </w:rPr>
        <w:t>挂车道路运输证号：</w:t>
      </w:r>
    </w:p>
    <w:p>
      <w:r>
        <w:rPr>
          <w:rFonts w:hint="eastAsia"/>
        </w:rPr>
        <w:t>轴型：</w:t>
      </w:r>
      <w:r>
        <w:rPr>
          <w:rFonts w:hint="eastAsia"/>
          <w:u w:val="single"/>
        </w:rPr>
        <w:t xml:space="preserve">      </w:t>
      </w:r>
      <w:r>
        <w:rPr>
          <w:rFonts w:hint="eastAsia"/>
        </w:rPr>
        <w:t>轴；车货总质量限值：</w:t>
      </w:r>
      <w:r>
        <w:rPr>
          <w:rFonts w:hint="eastAsia"/>
          <w:u w:val="single"/>
        </w:rPr>
        <w:t xml:space="preserve">           </w:t>
      </w:r>
      <w:r>
        <w:rPr>
          <w:rFonts w:hint="eastAsia"/>
        </w:rPr>
        <w:t>吨</w:t>
      </w:r>
    </w:p>
    <w:p>
      <w:r>
        <w:rPr>
          <w:rFonts w:hint="eastAsia"/>
        </w:rPr>
        <w:t>出场（站）时间：</w:t>
      </w:r>
    </w:p>
    <w:p>
      <w:r>
        <w:rPr>
          <w:rFonts w:hint="eastAsia"/>
        </w:rPr>
        <w:t>驾驶员姓名：</w:t>
      </w:r>
    </w:p>
    <w:p>
      <w:r>
        <w:rPr>
          <w:rFonts w:hint="eastAsia"/>
        </w:rPr>
        <w:t>驾驶员从业资格证号：</w:t>
      </w:r>
    </w:p>
    <w:p>
      <w:r>
        <w:rPr>
          <w:rFonts w:hint="eastAsia"/>
        </w:rPr>
        <w:t>货物品种：</w:t>
      </w:r>
    </w:p>
    <w:p>
      <w:r>
        <w:rPr>
          <w:rFonts w:hint="eastAsia"/>
        </w:rPr>
        <w:t>车货总重：</w:t>
      </w:r>
      <w:r>
        <w:rPr>
          <w:rFonts w:hint="eastAsia"/>
          <w:u w:val="single"/>
        </w:rPr>
        <w:t xml:space="preserve">              </w:t>
      </w:r>
      <w:r>
        <w:rPr>
          <w:rFonts w:hint="eastAsia"/>
        </w:rPr>
        <w:t>吨</w:t>
      </w:r>
    </w:p>
    <w:p>
      <w:r>
        <w:rPr>
          <w:rFonts w:hint="eastAsia"/>
        </w:rPr>
        <w:t>起运地：</w:t>
      </w:r>
    </w:p>
    <w:p>
      <w:r>
        <w:rPr>
          <w:rFonts w:hint="eastAsia"/>
        </w:rPr>
        <w:t>托运单位：</w:t>
      </w:r>
    </w:p>
    <w:p>
      <w:r>
        <w:rPr>
          <w:rFonts w:hint="eastAsia"/>
        </w:rPr>
        <w:t>送达地：</w:t>
      </w:r>
    </w:p>
    <w:p>
      <w:r>
        <w:rPr>
          <w:rFonts w:hint="eastAsia"/>
        </w:rPr>
        <w:t>收货单位：</w:t>
      </w:r>
    </w:p>
    <w:p>
      <w:pPr>
        <w:pStyle w:val="77"/>
        <w:numPr>
          <w:ilvl w:val="0"/>
          <w:numId w:val="0"/>
        </w:numPr>
        <w:spacing w:before="156" w:after="156"/>
        <w:jc w:val="both"/>
      </w:pPr>
    </w:p>
    <w:p>
      <w:pPr>
        <w:pStyle w:val="56"/>
        <w:ind w:firstLine="420"/>
      </w:pPr>
    </w:p>
    <w:p>
      <w:pPr>
        <w:pStyle w:val="56"/>
        <w:ind w:firstLine="420"/>
        <w:sectPr>
          <w:headerReference r:id="rId31" w:type="default"/>
          <w:footerReference r:id="rId33" w:type="default"/>
          <w:headerReference r:id="rId32" w:type="even"/>
          <w:footerReference r:id="rId34" w:type="even"/>
          <w:type w:val="continuous"/>
          <w:pgSz w:w="11906" w:h="16838"/>
          <w:pgMar w:top="1928" w:right="1134" w:bottom="1134" w:left="1134" w:header="1418" w:footer="1134" w:gutter="284"/>
          <w:cols w:space="425" w:num="2"/>
          <w:formProt w:val="0"/>
          <w:docGrid w:type="lines" w:linePitch="312" w:charSpace="0"/>
        </w:sectPr>
      </w:pPr>
    </w:p>
    <w:p>
      <w:pPr>
        <w:pStyle w:val="198"/>
      </w:pPr>
    </w:p>
    <w:p>
      <w:pPr>
        <w:pStyle w:val="199"/>
      </w:pPr>
    </w:p>
    <w:p>
      <w:pPr>
        <w:pStyle w:val="76"/>
        <w:spacing w:after="156"/>
      </w:pPr>
      <w:bookmarkStart w:id="217" w:name="_Toc135404392"/>
      <w:bookmarkStart w:id="218" w:name="_Toc134175477"/>
      <w:bookmarkStart w:id="219" w:name="_Toc134195234"/>
      <w:bookmarkStart w:id="220" w:name="_Toc134186374"/>
      <w:bookmarkStart w:id="221" w:name="_Toc134112277"/>
      <w:bookmarkStart w:id="222" w:name="_Toc134175664"/>
      <w:bookmarkStart w:id="223" w:name="_Toc134175277"/>
      <w:bookmarkStart w:id="224" w:name="_Toc134194757"/>
      <w:bookmarkStart w:id="225" w:name="_Toc134175158"/>
      <w:bookmarkStart w:id="226" w:name="_Toc134174286"/>
      <w:bookmarkStart w:id="227" w:name="_Toc134112896"/>
    </w:p>
    <w:p>
      <w:pPr>
        <w:pStyle w:val="76"/>
        <w:spacing w:after="156"/>
      </w:pPr>
      <w:r>
        <w:rPr>
          <w:rFonts w:hint="eastAsia"/>
        </w:rPr>
        <w:t>（资料性）</w:t>
      </w:r>
    </w:p>
    <w:p>
      <w:pPr>
        <w:pStyle w:val="76"/>
        <w:spacing w:after="156"/>
      </w:pPr>
      <w:r>
        <w:rPr>
          <w:rFonts w:hint="eastAsia"/>
        </w:rPr>
        <w:t>大型不可解体物品调运单</w:t>
      </w:r>
      <w:bookmarkEnd w:id="217"/>
      <w:bookmarkEnd w:id="218"/>
      <w:bookmarkEnd w:id="219"/>
      <w:bookmarkEnd w:id="220"/>
      <w:bookmarkEnd w:id="221"/>
      <w:bookmarkEnd w:id="222"/>
      <w:bookmarkEnd w:id="223"/>
      <w:bookmarkEnd w:id="224"/>
      <w:bookmarkEnd w:id="225"/>
      <w:bookmarkEnd w:id="226"/>
      <w:bookmarkEnd w:id="227"/>
    </w:p>
    <w:p>
      <w:pPr>
        <w:pStyle w:val="56"/>
        <w:ind w:firstLine="420"/>
      </w:pPr>
      <w:r>
        <w:rPr>
          <w:rFonts w:hint="eastAsia"/>
        </w:rPr>
        <w:t>大型不可解体物品调运单见表</w:t>
      </w:r>
      <w:r>
        <w:t>C</w:t>
      </w:r>
      <w:r>
        <w:rPr>
          <w:rFonts w:hint="eastAsia"/>
        </w:rPr>
        <w:t>.1。</w:t>
      </w:r>
    </w:p>
    <w:p>
      <w:pPr>
        <w:pStyle w:val="77"/>
        <w:spacing w:before="156" w:after="156"/>
      </w:pPr>
      <w:r>
        <w:rPr>
          <w:rFonts w:hint="eastAsia"/>
        </w:rPr>
        <w:t>大型不可解体物品调运单</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89"/>
        <w:gridCol w:w="4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501" w:type="pct"/>
            <w:tcBorders>
              <w:top w:val="single" w:color="auto" w:sz="8" w:space="0"/>
              <w:bottom w:val="single" w:color="auto" w:sz="8" w:space="0"/>
            </w:tcBorders>
            <w:shd w:val="clear" w:color="auto" w:fill="auto"/>
            <w:vAlign w:val="center"/>
          </w:tcPr>
          <w:p>
            <w:pPr>
              <w:pStyle w:val="56"/>
              <w:ind w:firstLine="0" w:firstLineChars="0"/>
              <w:jc w:val="center"/>
              <w:rPr>
                <w:sz w:val="18"/>
                <w:szCs w:val="16"/>
              </w:rPr>
            </w:pPr>
            <w:r>
              <w:rPr>
                <w:rFonts w:hint="eastAsia"/>
                <w:sz w:val="18"/>
                <w:szCs w:val="16"/>
              </w:rPr>
              <w:t>物品名称</w:t>
            </w:r>
          </w:p>
        </w:tc>
        <w:tc>
          <w:tcPr>
            <w:tcW w:w="2499" w:type="pct"/>
            <w:tcBorders>
              <w:top w:val="single" w:color="auto" w:sz="8" w:space="0"/>
              <w:bottom w:val="single" w:color="auto" w:sz="8" w:space="0"/>
            </w:tcBorders>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tcBorders>
              <w:top w:val="single" w:color="auto" w:sz="8" w:space="0"/>
            </w:tcBorders>
            <w:shd w:val="clear" w:color="auto" w:fill="auto"/>
            <w:vAlign w:val="center"/>
          </w:tcPr>
          <w:p>
            <w:pPr>
              <w:pStyle w:val="56"/>
              <w:ind w:firstLine="0" w:firstLineChars="0"/>
              <w:jc w:val="center"/>
              <w:rPr>
                <w:sz w:val="18"/>
                <w:szCs w:val="16"/>
              </w:rPr>
            </w:pPr>
            <w:r>
              <w:rPr>
                <w:rFonts w:hint="eastAsia"/>
                <w:sz w:val="18"/>
                <w:szCs w:val="16"/>
              </w:rPr>
              <w:t>生产单位</w:t>
            </w:r>
          </w:p>
        </w:tc>
        <w:tc>
          <w:tcPr>
            <w:tcW w:w="2499" w:type="pct"/>
            <w:tcBorders>
              <w:top w:val="single" w:color="auto" w:sz="8" w:space="0"/>
            </w:tcBorders>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生产单位联系电话</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质量（吨）</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长度（米）</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宽度（米）</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高度（米）</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承运单位</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收货单位</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起</w:t>
            </w:r>
            <w:r>
              <w:rPr>
                <w:sz w:val="18"/>
                <w:szCs w:val="16"/>
              </w:rPr>
              <w:t xml:space="preserve"> </w:t>
            </w:r>
            <w:r>
              <w:rPr>
                <w:rFonts w:hint="eastAsia"/>
                <w:sz w:val="18"/>
                <w:szCs w:val="16"/>
              </w:rPr>
              <w:t>运</w:t>
            </w:r>
            <w:r>
              <w:rPr>
                <w:sz w:val="18"/>
                <w:szCs w:val="16"/>
              </w:rPr>
              <w:t xml:space="preserve"> </w:t>
            </w:r>
            <w:r>
              <w:rPr>
                <w:rFonts w:hint="eastAsia"/>
                <w:sz w:val="18"/>
                <w:szCs w:val="16"/>
              </w:rPr>
              <w:t>地</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起运时间</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送</w:t>
            </w:r>
            <w:r>
              <w:rPr>
                <w:sz w:val="18"/>
                <w:szCs w:val="16"/>
              </w:rPr>
              <w:t xml:space="preserve"> </w:t>
            </w:r>
            <w:r>
              <w:rPr>
                <w:rFonts w:hint="eastAsia"/>
                <w:sz w:val="18"/>
                <w:szCs w:val="16"/>
              </w:rPr>
              <w:t>达</w:t>
            </w:r>
            <w:r>
              <w:rPr>
                <w:sz w:val="18"/>
                <w:szCs w:val="16"/>
              </w:rPr>
              <w:t xml:space="preserve"> </w:t>
            </w:r>
            <w:r>
              <w:rPr>
                <w:rFonts w:hint="eastAsia"/>
                <w:sz w:val="18"/>
                <w:szCs w:val="16"/>
              </w:rPr>
              <w:t>地</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01" w:type="pct"/>
            <w:shd w:val="clear" w:color="auto" w:fill="auto"/>
            <w:vAlign w:val="center"/>
          </w:tcPr>
          <w:p>
            <w:pPr>
              <w:pStyle w:val="56"/>
              <w:ind w:firstLine="0" w:firstLineChars="0"/>
              <w:jc w:val="center"/>
              <w:rPr>
                <w:sz w:val="18"/>
                <w:szCs w:val="16"/>
              </w:rPr>
            </w:pPr>
            <w:r>
              <w:rPr>
                <w:rFonts w:hint="eastAsia"/>
                <w:sz w:val="18"/>
                <w:szCs w:val="16"/>
              </w:rPr>
              <w:t>送达时间</w:t>
            </w:r>
          </w:p>
        </w:tc>
        <w:tc>
          <w:tcPr>
            <w:tcW w:w="2499" w:type="pct"/>
            <w:shd w:val="clear" w:color="auto" w:fill="auto"/>
            <w:vAlign w:val="center"/>
          </w:tcPr>
          <w:p>
            <w:pPr>
              <w:pStyle w:val="56"/>
              <w:ind w:firstLine="0" w:firstLineChars="0"/>
              <w:jc w:val="center"/>
              <w:rPr>
                <w:sz w:val="18"/>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2"/>
            <w:tcBorders>
              <w:bottom w:val="single" w:color="auto" w:sz="8" w:space="0"/>
            </w:tcBorders>
            <w:shd w:val="clear" w:color="auto" w:fill="auto"/>
            <w:vAlign w:val="center"/>
          </w:tcPr>
          <w:p>
            <w:pPr>
              <w:pStyle w:val="56"/>
              <w:ind w:firstLine="0" w:firstLineChars="0"/>
              <w:rPr>
                <w:bCs/>
                <w:sz w:val="18"/>
                <w:szCs w:val="16"/>
              </w:rPr>
            </w:pPr>
            <w:r>
              <w:rPr>
                <w:rFonts w:hint="eastAsia"/>
                <w:bCs/>
                <w:sz w:val="18"/>
                <w:szCs w:val="16"/>
              </w:rPr>
              <w:t>本企业承诺填写的以上材料均真实有效；如有不实，愿意承担一切法律责任。</w:t>
            </w:r>
          </w:p>
          <w:p>
            <w:pPr>
              <w:pStyle w:val="56"/>
              <w:ind w:firstLine="0" w:firstLineChars="0"/>
              <w:rPr>
                <w:bCs/>
                <w:sz w:val="18"/>
                <w:szCs w:val="16"/>
              </w:rPr>
            </w:pPr>
          </w:p>
          <w:p>
            <w:pPr>
              <w:pStyle w:val="56"/>
              <w:ind w:firstLine="0" w:firstLineChars="0"/>
              <w:rPr>
                <w:bCs/>
                <w:sz w:val="18"/>
                <w:szCs w:val="16"/>
              </w:rPr>
            </w:pPr>
          </w:p>
          <w:p>
            <w:pPr>
              <w:pStyle w:val="56"/>
              <w:ind w:firstLine="0" w:firstLineChars="0"/>
              <w:rPr>
                <w:bCs/>
                <w:sz w:val="18"/>
                <w:szCs w:val="16"/>
              </w:rPr>
            </w:pPr>
          </w:p>
          <w:p>
            <w:pPr>
              <w:pStyle w:val="56"/>
              <w:ind w:firstLine="0" w:firstLineChars="0"/>
              <w:rPr>
                <w:bCs/>
                <w:sz w:val="18"/>
                <w:szCs w:val="16"/>
              </w:rPr>
            </w:pPr>
          </w:p>
          <w:p>
            <w:pPr>
              <w:pStyle w:val="56"/>
              <w:tabs>
                <w:tab w:val="left" w:pos="3331"/>
              </w:tabs>
              <w:ind w:left="7778" w:leftChars="3704" w:firstLine="0" w:firstLineChars="0"/>
              <w:rPr>
                <w:bCs/>
                <w:sz w:val="18"/>
                <w:szCs w:val="16"/>
              </w:rPr>
            </w:pPr>
            <w:r>
              <w:rPr>
                <w:rFonts w:hint="eastAsia"/>
                <w:bCs/>
                <w:sz w:val="18"/>
                <w:szCs w:val="16"/>
              </w:rPr>
              <w:t>生产单位（盖章）</w:t>
            </w:r>
          </w:p>
          <w:p>
            <w:pPr>
              <w:pStyle w:val="56"/>
              <w:tabs>
                <w:tab w:val="left" w:pos="3331"/>
              </w:tabs>
              <w:ind w:left="7919" w:leftChars="3771" w:firstLine="0" w:firstLineChars="0"/>
              <w:rPr>
                <w:sz w:val="18"/>
                <w:szCs w:val="16"/>
              </w:rPr>
            </w:pPr>
            <w:r>
              <w:rPr>
                <w:rFonts w:hint="eastAsia"/>
                <w:bCs/>
                <w:sz w:val="18"/>
                <w:szCs w:val="16"/>
              </w:rPr>
              <w:t>年</w:t>
            </w:r>
            <w:r>
              <w:rPr>
                <w:bCs/>
                <w:sz w:val="18"/>
                <w:szCs w:val="16"/>
              </w:rPr>
              <w:t xml:space="preserve">    </w:t>
            </w:r>
            <w:r>
              <w:rPr>
                <w:rFonts w:hint="eastAsia"/>
                <w:bCs/>
                <w:sz w:val="18"/>
                <w:szCs w:val="16"/>
              </w:rPr>
              <w:t>月</w:t>
            </w:r>
            <w:r>
              <w:rPr>
                <w:bCs/>
                <w:sz w:val="18"/>
                <w:szCs w:val="16"/>
              </w:rPr>
              <w:t xml:space="preserve">    </w:t>
            </w:r>
            <w:r>
              <w:rPr>
                <w:rFonts w:hint="eastAsia"/>
                <w:bCs/>
                <w:sz w:val="18"/>
                <w:szCs w:val="16"/>
              </w:rPr>
              <w:t>日</w:t>
            </w:r>
          </w:p>
        </w:tc>
      </w:tr>
    </w:tbl>
    <w:p>
      <w:pPr>
        <w:pStyle w:val="56"/>
        <w:ind w:firstLine="420"/>
      </w:pPr>
    </w:p>
    <w:p>
      <w:pPr>
        <w:pStyle w:val="56"/>
        <w:ind w:firstLine="420"/>
      </w:pPr>
    </w:p>
    <w:p>
      <w:pPr>
        <w:pStyle w:val="56"/>
        <w:ind w:firstLine="420"/>
        <w:sectPr>
          <w:headerReference r:id="rId35" w:type="default"/>
          <w:footerReference r:id="rId37" w:type="default"/>
          <w:headerReference r:id="rId36" w:type="even"/>
          <w:footerReference r:id="rId38"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228" w:name="_Toc134175278"/>
      <w:bookmarkStart w:id="229" w:name="_Toc134112278"/>
      <w:bookmarkStart w:id="230" w:name="_Toc134195235"/>
      <w:bookmarkStart w:id="231" w:name="_Toc134186375"/>
      <w:bookmarkStart w:id="232" w:name="_Toc134194758"/>
      <w:bookmarkStart w:id="233" w:name="_Toc134174287"/>
      <w:bookmarkStart w:id="234" w:name="_Toc134175665"/>
      <w:bookmarkStart w:id="235" w:name="_Toc134175159"/>
      <w:bookmarkStart w:id="236" w:name="_Toc134175478"/>
      <w:bookmarkStart w:id="237" w:name="_Toc134112897"/>
      <w:bookmarkStart w:id="238" w:name="_Toc135404393"/>
    </w:p>
    <w:p>
      <w:pPr>
        <w:pStyle w:val="76"/>
        <w:spacing w:after="156"/>
      </w:pPr>
      <w:r>
        <w:rPr>
          <w:rFonts w:hint="eastAsia"/>
        </w:rPr>
        <w:t>（资料性）</w:t>
      </w:r>
    </w:p>
    <w:p>
      <w:pPr>
        <w:pStyle w:val="76"/>
        <w:spacing w:after="156"/>
      </w:pPr>
      <w:r>
        <w:rPr>
          <w:rFonts w:hint="eastAsia"/>
        </w:rPr>
        <w:t>江苏省道路货运运单（大型不可解体物品）</w:t>
      </w:r>
      <w:bookmarkEnd w:id="228"/>
      <w:bookmarkEnd w:id="229"/>
      <w:bookmarkEnd w:id="230"/>
      <w:bookmarkEnd w:id="231"/>
      <w:bookmarkEnd w:id="232"/>
      <w:bookmarkEnd w:id="233"/>
      <w:bookmarkEnd w:id="234"/>
      <w:bookmarkEnd w:id="235"/>
      <w:bookmarkEnd w:id="236"/>
      <w:bookmarkEnd w:id="237"/>
      <w:bookmarkEnd w:id="238"/>
    </w:p>
    <w:p>
      <w:pPr>
        <w:ind w:left="2268" w:leftChars="1080" w:firstLine="422" w:firstLineChars="151"/>
        <w:rPr>
          <w:sz w:val="28"/>
          <w:szCs w:val="28"/>
        </w:rPr>
      </w:pPr>
      <w:r>
        <w:rPr>
          <w:rFonts w:hint="eastAsia"/>
          <w:sz w:val="28"/>
          <w:szCs w:val="28"/>
        </w:rPr>
        <w:t>江苏省道路货运运单</w:t>
      </w:r>
    </w:p>
    <w:p>
      <w:pPr>
        <w:ind w:left="2835" w:leftChars="1350" w:firstLine="241" w:firstLineChars="151"/>
        <w:rPr>
          <w:sz w:val="16"/>
          <w:szCs w:val="16"/>
        </w:rPr>
      </w:pPr>
      <w:r>
        <w:rPr>
          <w:rFonts w:hint="eastAsia"/>
          <w:sz w:val="16"/>
          <w:szCs w:val="16"/>
        </w:rPr>
        <w:t>（大型不可解体物品）</w:t>
      </w:r>
    </w:p>
    <w:p>
      <w:pPr>
        <w:ind w:left="1842" w:leftChars="676" w:hanging="422" w:hangingChars="201"/>
      </w:pPr>
      <w:r>
        <w:rPr>
          <w:rFonts w:hint="eastAsia"/>
        </w:rPr>
        <w:t>货物装载源头单位：（盖章）</w:t>
      </w:r>
    </w:p>
    <w:p>
      <w:pPr>
        <w:ind w:left="1842" w:leftChars="676" w:hanging="422" w:hangingChars="201"/>
      </w:pPr>
      <w:r>
        <w:rPr>
          <w:rFonts w:hint="eastAsia"/>
        </w:rPr>
        <w:t>货物装载源头单位联系电话：</w:t>
      </w:r>
      <w:r>
        <w:t xml:space="preserve"> </w:t>
      </w:r>
    </w:p>
    <w:p>
      <w:pPr>
        <w:ind w:left="1842" w:leftChars="676" w:hanging="422" w:hangingChars="201"/>
      </w:pPr>
      <w:r>
        <w:rPr>
          <w:rFonts w:hint="eastAsia"/>
        </w:rPr>
        <w:t>道路运输经营者名称：</w:t>
      </w:r>
    </w:p>
    <w:p>
      <w:pPr>
        <w:ind w:left="1842" w:leftChars="676" w:hanging="422" w:hangingChars="201"/>
      </w:pPr>
      <w:r>
        <w:rPr>
          <w:rFonts w:hint="eastAsia"/>
        </w:rPr>
        <w:t>车辆号牌：</w:t>
      </w:r>
      <w:r>
        <w:rPr>
          <w:rFonts w:hint="eastAsia"/>
          <w:u w:val="single"/>
        </w:rPr>
        <w:t xml:space="preserve">                      </w:t>
      </w:r>
      <w:r>
        <w:rPr>
          <w:rFonts w:hint="eastAsia"/>
        </w:rPr>
        <w:t>（黄）</w:t>
      </w:r>
    </w:p>
    <w:p>
      <w:pPr>
        <w:ind w:left="1842" w:leftChars="676" w:hanging="422" w:hangingChars="201"/>
      </w:pPr>
      <w:r>
        <w:rPr>
          <w:rFonts w:hint="eastAsia"/>
        </w:rPr>
        <w:t>车辆道路运输证号：</w:t>
      </w:r>
    </w:p>
    <w:p>
      <w:pPr>
        <w:ind w:left="1842" w:leftChars="676" w:hanging="422" w:hangingChars="201"/>
      </w:pPr>
      <w:r>
        <w:rPr>
          <w:rFonts w:hint="eastAsia"/>
        </w:rPr>
        <w:t>挂车号牌：</w:t>
      </w:r>
      <w:r>
        <w:rPr>
          <w:rFonts w:hint="eastAsia"/>
          <w:u w:val="single"/>
        </w:rPr>
        <w:t xml:space="preserve">                      </w:t>
      </w:r>
      <w:r>
        <w:rPr>
          <w:rFonts w:hint="eastAsia"/>
        </w:rPr>
        <w:t>（黄）</w:t>
      </w:r>
    </w:p>
    <w:p>
      <w:pPr>
        <w:ind w:left="1842" w:leftChars="676" w:hanging="422" w:hangingChars="201"/>
      </w:pPr>
      <w:r>
        <w:rPr>
          <w:rFonts w:hint="eastAsia"/>
        </w:rPr>
        <w:t>挂车道路运输证号：</w:t>
      </w:r>
    </w:p>
    <w:p>
      <w:pPr>
        <w:ind w:left="1842" w:leftChars="676" w:hanging="422" w:hangingChars="201"/>
      </w:pPr>
      <w:r>
        <w:rPr>
          <w:rFonts w:hint="eastAsia"/>
        </w:rPr>
        <w:t>总轴数：</w:t>
      </w:r>
      <w:r>
        <w:rPr>
          <w:rFonts w:hint="eastAsia"/>
          <w:u w:val="single"/>
        </w:rPr>
        <w:t xml:space="preserve">          </w:t>
      </w:r>
      <w:r>
        <w:rPr>
          <w:rFonts w:hint="eastAsia"/>
        </w:rPr>
        <w:t>轴        轴荷分布：</w:t>
      </w:r>
    </w:p>
    <w:p>
      <w:pPr>
        <w:ind w:left="1842" w:leftChars="676" w:hanging="422" w:hangingChars="201"/>
      </w:pPr>
      <w:r>
        <w:rPr>
          <w:rFonts w:hint="eastAsia"/>
        </w:rPr>
        <w:t>出场（站）时间：</w:t>
      </w:r>
    </w:p>
    <w:p>
      <w:pPr>
        <w:ind w:left="1842" w:leftChars="676" w:hanging="422" w:hangingChars="201"/>
      </w:pPr>
      <w:r>
        <w:rPr>
          <w:rFonts w:hint="eastAsia"/>
        </w:rPr>
        <w:t>驾驶员姓名：</w:t>
      </w:r>
    </w:p>
    <w:p>
      <w:pPr>
        <w:ind w:left="1842" w:leftChars="676" w:hanging="422" w:hangingChars="201"/>
      </w:pPr>
      <w:r>
        <w:rPr>
          <w:rFonts w:hint="eastAsia"/>
        </w:rPr>
        <w:t>驾驶员从业资格证号：</w:t>
      </w:r>
    </w:p>
    <w:p>
      <w:pPr>
        <w:ind w:left="1842" w:leftChars="676" w:hanging="422" w:hangingChars="201"/>
      </w:pPr>
      <w:r>
        <w:rPr>
          <w:rFonts w:hint="eastAsia"/>
        </w:rPr>
        <w:t>货物名称：</w:t>
      </w:r>
    </w:p>
    <w:p>
      <w:pPr>
        <w:ind w:left="1842" w:leftChars="676" w:hanging="422" w:hangingChars="201"/>
      </w:pPr>
      <w:r>
        <w:rPr>
          <w:rFonts w:hint="eastAsia"/>
        </w:rPr>
        <w:t>车货总质量（吨）：</w:t>
      </w:r>
    </w:p>
    <w:p>
      <w:pPr>
        <w:ind w:left="1842" w:leftChars="676" w:hanging="422" w:hangingChars="201"/>
      </w:pPr>
      <w:r>
        <w:rPr>
          <w:rFonts w:hint="eastAsia"/>
        </w:rPr>
        <w:t>车货总尺寸（米）： 长*宽*高</w:t>
      </w:r>
    </w:p>
    <w:p>
      <w:pPr>
        <w:ind w:left="1842" w:leftChars="676" w:hanging="422" w:hangingChars="201"/>
      </w:pPr>
      <w:r>
        <w:rPr>
          <w:rFonts w:hint="eastAsia"/>
        </w:rPr>
        <w:t>起运地：</w:t>
      </w:r>
    </w:p>
    <w:p>
      <w:pPr>
        <w:ind w:left="1842" w:leftChars="676" w:hanging="422" w:hangingChars="201"/>
      </w:pPr>
      <w:r>
        <w:rPr>
          <w:rFonts w:hint="eastAsia"/>
        </w:rPr>
        <w:t>托运单位：</w:t>
      </w:r>
    </w:p>
    <w:p>
      <w:pPr>
        <w:ind w:left="1842" w:leftChars="676" w:hanging="422" w:hangingChars="201"/>
      </w:pPr>
      <w:r>
        <w:rPr>
          <w:rFonts w:hint="eastAsia"/>
        </w:rPr>
        <w:t>送达地：</w:t>
      </w:r>
    </w:p>
    <w:p>
      <w:pPr>
        <w:ind w:left="1842" w:leftChars="676" w:hanging="422" w:hangingChars="201"/>
      </w:pPr>
      <w:r>
        <w:rPr>
          <w:rFonts w:hint="eastAsia"/>
        </w:rPr>
        <w:t>收货单位：</w:t>
      </w:r>
    </w:p>
    <w:p>
      <w:pPr>
        <w:pStyle w:val="56"/>
        <w:spacing w:line="400" w:lineRule="exact"/>
        <w:ind w:left="1842" w:leftChars="676" w:hanging="422" w:hangingChars="201"/>
      </w:pPr>
      <w:r>
        <w:rPr>
          <w:rFonts w:hint="eastAsia"/>
        </w:rPr>
        <w:t>本企业承诺填写的以上材料均真实有效；如有不实，愿意承担一切法律责任。</w:t>
      </w:r>
    </w:p>
    <w:p>
      <w:pPr>
        <w:pStyle w:val="56"/>
        <w:ind w:firstLine="420"/>
      </w:pPr>
    </w:p>
    <w:p>
      <w:pPr>
        <w:pStyle w:val="56"/>
        <w:ind w:firstLine="420"/>
        <w:sectPr>
          <w:headerReference r:id="rId39" w:type="default"/>
          <w:footerReference r:id="rId41" w:type="default"/>
          <w:headerReference r:id="rId40" w:type="even"/>
          <w:footerReference r:id="rId42"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keepNext w:val="0"/>
        <w:keepLines w:val="0"/>
        <w:pageBreakBefore w:val="0"/>
        <w:widowControl/>
        <w:kinsoku/>
        <w:wordWrap/>
        <w:overflowPunct/>
        <w:topLinePunct w:val="0"/>
        <w:autoSpaceDE/>
        <w:autoSpaceDN/>
        <w:bidi w:val="0"/>
        <w:adjustRightInd/>
        <w:snapToGrid/>
        <w:spacing w:before="0" w:after="0" w:afterLines="0" w:line="480" w:lineRule="auto"/>
        <w:textAlignment w:val="auto"/>
      </w:pPr>
      <w:bookmarkStart w:id="239" w:name="_Toc134112279"/>
      <w:bookmarkStart w:id="240" w:name="_Toc135404394"/>
      <w:bookmarkStart w:id="241" w:name="_Toc134175160"/>
      <w:bookmarkStart w:id="242" w:name="_Toc134186376"/>
      <w:bookmarkStart w:id="243" w:name="_Toc134195236"/>
      <w:bookmarkStart w:id="244" w:name="_Toc134194759"/>
      <w:bookmarkStart w:id="245" w:name="_Toc134174288"/>
      <w:bookmarkStart w:id="246" w:name="_Toc134112898"/>
      <w:bookmarkStart w:id="247" w:name="_Toc134175279"/>
      <w:bookmarkStart w:id="248" w:name="_Toc134175666"/>
      <w:bookmarkStart w:id="249" w:name="_Toc134175479"/>
    </w:p>
    <w:p>
      <w:pPr>
        <w:pStyle w:val="76"/>
        <w:keepNext w:val="0"/>
        <w:keepLines w:val="0"/>
        <w:pageBreakBefore w:val="0"/>
        <w:widowControl/>
        <w:kinsoku/>
        <w:wordWrap/>
        <w:overflowPunct/>
        <w:topLinePunct w:val="0"/>
        <w:autoSpaceDE/>
        <w:autoSpaceDN/>
        <w:bidi w:val="0"/>
        <w:adjustRightInd/>
        <w:snapToGrid/>
        <w:spacing w:before="0" w:after="0" w:afterLines="0" w:line="480" w:lineRule="auto"/>
        <w:textAlignment w:val="auto"/>
      </w:pPr>
      <w:r>
        <w:rPr>
          <w:rFonts w:hint="eastAsia"/>
        </w:rPr>
        <w:t>（资料性）</w:t>
      </w:r>
    </w:p>
    <w:p>
      <w:pPr>
        <w:pStyle w:val="76"/>
        <w:keepNext w:val="0"/>
        <w:keepLines w:val="0"/>
        <w:pageBreakBefore w:val="0"/>
        <w:widowControl/>
        <w:kinsoku/>
        <w:wordWrap/>
        <w:overflowPunct/>
        <w:topLinePunct w:val="0"/>
        <w:autoSpaceDE/>
        <w:autoSpaceDN/>
        <w:bidi w:val="0"/>
        <w:adjustRightInd/>
        <w:snapToGrid/>
        <w:spacing w:before="0" w:after="0" w:afterLines="0" w:line="480" w:lineRule="auto"/>
        <w:textAlignment w:val="auto"/>
      </w:pPr>
      <w:r>
        <w:rPr>
          <w:rFonts w:hint="eastAsia"/>
        </w:rPr>
        <w:t>超限运输车辆通行证</w:t>
      </w:r>
      <w:bookmarkEnd w:id="239"/>
      <w:bookmarkEnd w:id="240"/>
      <w:bookmarkEnd w:id="241"/>
      <w:bookmarkEnd w:id="242"/>
      <w:bookmarkEnd w:id="243"/>
      <w:bookmarkEnd w:id="244"/>
      <w:bookmarkEnd w:id="245"/>
      <w:bookmarkEnd w:id="246"/>
      <w:bookmarkEnd w:id="247"/>
      <w:bookmarkEnd w:id="248"/>
      <w:bookmarkEnd w:id="249"/>
    </w:p>
    <w:p>
      <w:pPr>
        <w:pStyle w:val="56"/>
        <w:ind w:firstLine="420"/>
      </w:pPr>
      <w:r>
        <w:rPr>
          <w:rFonts w:hint="eastAsia"/>
        </w:rPr>
        <w:t>超限运输车辆通行证见图E</w:t>
      </w:r>
      <w:r>
        <w:t>.1</w:t>
      </w:r>
      <w:r>
        <w:rPr>
          <w:rFonts w:hint="eastAsia"/>
        </w:rPr>
        <w:t>。</w:t>
      </w:r>
    </w:p>
    <w:p>
      <w:pPr>
        <w:pStyle w:val="56"/>
        <w:ind w:firstLine="0" w:firstLineChars="0"/>
        <w:jc w:val="center"/>
      </w:pPr>
      <w:r>
        <w:drawing>
          <wp:inline distT="0" distB="0" distL="0" distR="0">
            <wp:extent cx="4749165" cy="6383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749165" cy="6383020"/>
                    </a:xfrm>
                    <a:prstGeom prst="rect">
                      <a:avLst/>
                    </a:prstGeom>
                    <a:noFill/>
                  </pic:spPr>
                </pic:pic>
              </a:graphicData>
            </a:graphic>
          </wp:inline>
        </w:drawing>
      </w:r>
    </w:p>
    <w:p>
      <w:pPr>
        <w:pStyle w:val="83"/>
        <w:spacing w:before="156" w:after="156"/>
      </w:pPr>
      <w:r>
        <w:rPr>
          <w:rFonts w:hint="eastAsia"/>
        </w:rPr>
        <w:t>超限运输车辆通行证</w:t>
      </w:r>
    </w:p>
    <w:p>
      <w:pPr>
        <w:pStyle w:val="56"/>
        <w:ind w:firstLine="420"/>
      </w:pPr>
    </w:p>
    <w:p>
      <w:pPr>
        <w:pStyle w:val="56"/>
        <w:ind w:firstLine="420"/>
      </w:pPr>
    </w:p>
    <w:p>
      <w:pPr>
        <w:pStyle w:val="198"/>
      </w:pPr>
    </w:p>
    <w:p>
      <w:pPr>
        <w:pStyle w:val="199"/>
      </w:pPr>
    </w:p>
    <w:p>
      <w:pPr>
        <w:pStyle w:val="76"/>
        <w:spacing w:after="156"/>
      </w:pPr>
      <w:bookmarkStart w:id="250" w:name="_Toc134112899"/>
      <w:bookmarkStart w:id="251" w:name="_Toc134175480"/>
      <w:bookmarkStart w:id="252" w:name="_Toc134194760"/>
      <w:bookmarkStart w:id="253" w:name="_Toc135404395"/>
      <w:bookmarkStart w:id="254" w:name="_Toc134195237"/>
      <w:bookmarkStart w:id="255" w:name="_Toc134175667"/>
      <w:bookmarkStart w:id="256" w:name="_Toc134175280"/>
      <w:bookmarkStart w:id="257" w:name="_Toc134112280"/>
      <w:bookmarkStart w:id="258" w:name="_Toc134186377"/>
      <w:bookmarkStart w:id="259" w:name="_Toc134175161"/>
      <w:bookmarkStart w:id="260" w:name="_Toc134174289"/>
    </w:p>
    <w:p>
      <w:pPr>
        <w:pStyle w:val="76"/>
        <w:spacing w:after="156"/>
      </w:pPr>
      <w:r>
        <w:rPr>
          <w:rFonts w:hint="eastAsia"/>
        </w:rPr>
        <w:t>（资料性）</w:t>
      </w:r>
    </w:p>
    <w:p>
      <w:pPr>
        <w:pStyle w:val="76"/>
        <w:spacing w:after="156"/>
      </w:pPr>
      <w:r>
        <w:rPr>
          <w:rFonts w:hint="eastAsia"/>
        </w:rPr>
        <w:t>安全管理工作会议学习台账</w:t>
      </w:r>
      <w:bookmarkEnd w:id="250"/>
      <w:bookmarkEnd w:id="251"/>
      <w:bookmarkEnd w:id="252"/>
      <w:bookmarkEnd w:id="253"/>
      <w:bookmarkEnd w:id="254"/>
      <w:bookmarkEnd w:id="255"/>
      <w:bookmarkEnd w:id="256"/>
      <w:bookmarkEnd w:id="257"/>
      <w:bookmarkEnd w:id="258"/>
      <w:bookmarkEnd w:id="259"/>
      <w:bookmarkEnd w:id="260"/>
    </w:p>
    <w:p>
      <w:pPr>
        <w:pStyle w:val="56"/>
        <w:ind w:firstLine="420"/>
      </w:pPr>
      <w:r>
        <w:rPr>
          <w:rFonts w:hint="eastAsia"/>
        </w:rPr>
        <w:t>安全管理工作会议学习台账见表F.1。</w:t>
      </w:r>
    </w:p>
    <w:p>
      <w:pPr>
        <w:pStyle w:val="77"/>
        <w:spacing w:before="156" w:after="156"/>
      </w:pPr>
      <w:r>
        <w:rPr>
          <w:rFonts w:hint="eastAsia"/>
        </w:rPr>
        <w:t>安全管理工作会议学习台账</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1"/>
        <w:gridCol w:w="2893"/>
        <w:gridCol w:w="1817"/>
        <w:gridCol w:w="28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993"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会议时间</w:t>
            </w:r>
          </w:p>
        </w:tc>
        <w:tc>
          <w:tcPr>
            <w:tcW w:w="1543"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p>
        </w:tc>
        <w:tc>
          <w:tcPr>
            <w:tcW w:w="969"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会议地点</w:t>
            </w:r>
          </w:p>
        </w:tc>
        <w:tc>
          <w:tcPr>
            <w:tcW w:w="1495"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93" w:type="pct"/>
            <w:tcBorders>
              <w:top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主持人</w:t>
            </w:r>
          </w:p>
        </w:tc>
        <w:tc>
          <w:tcPr>
            <w:tcW w:w="1543" w:type="pct"/>
            <w:tcBorders>
              <w:top w:val="single" w:color="auto" w:sz="8" w:space="0"/>
            </w:tcBorders>
            <w:shd w:val="clear" w:color="auto" w:fill="auto"/>
            <w:vAlign w:val="center"/>
          </w:tcPr>
          <w:p>
            <w:pPr>
              <w:pStyle w:val="56"/>
              <w:ind w:firstLine="0" w:firstLineChars="0"/>
              <w:jc w:val="center"/>
              <w:rPr>
                <w:sz w:val="18"/>
                <w:szCs w:val="18"/>
              </w:rPr>
            </w:pPr>
          </w:p>
        </w:tc>
        <w:tc>
          <w:tcPr>
            <w:tcW w:w="969" w:type="pct"/>
            <w:tcBorders>
              <w:top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记录人</w:t>
            </w:r>
          </w:p>
        </w:tc>
        <w:tc>
          <w:tcPr>
            <w:tcW w:w="1495" w:type="pct"/>
            <w:tcBorders>
              <w:top w:val="single" w:color="auto" w:sz="8" w:space="0"/>
            </w:tcBorders>
            <w:shd w:val="clear" w:color="auto" w:fill="auto"/>
            <w:vAlign w:val="center"/>
          </w:tcPr>
          <w:p>
            <w:pPr>
              <w:pStyle w:val="56"/>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93" w:type="pct"/>
            <w:shd w:val="clear" w:color="auto" w:fill="auto"/>
            <w:vAlign w:val="center"/>
          </w:tcPr>
          <w:p>
            <w:pPr>
              <w:pStyle w:val="56"/>
              <w:ind w:firstLine="0" w:firstLineChars="0"/>
              <w:jc w:val="center"/>
              <w:rPr>
                <w:sz w:val="18"/>
                <w:szCs w:val="18"/>
              </w:rPr>
            </w:pPr>
            <w:r>
              <w:rPr>
                <w:rFonts w:hint="eastAsia"/>
                <w:sz w:val="18"/>
                <w:szCs w:val="18"/>
              </w:rPr>
              <w:t>会议主题</w:t>
            </w:r>
          </w:p>
        </w:tc>
        <w:tc>
          <w:tcPr>
            <w:tcW w:w="4007" w:type="pct"/>
            <w:gridSpan w:val="3"/>
            <w:shd w:val="clear" w:color="auto" w:fill="auto"/>
            <w:vAlign w:val="center"/>
          </w:tcPr>
          <w:p>
            <w:pPr>
              <w:pStyle w:val="56"/>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93" w:type="pct"/>
            <w:shd w:val="clear" w:color="auto" w:fill="auto"/>
            <w:vAlign w:val="center"/>
          </w:tcPr>
          <w:p>
            <w:pPr>
              <w:pStyle w:val="56"/>
              <w:ind w:firstLine="0" w:firstLineChars="0"/>
              <w:jc w:val="center"/>
              <w:rPr>
                <w:sz w:val="18"/>
                <w:szCs w:val="18"/>
              </w:rPr>
            </w:pPr>
            <w:r>
              <w:rPr>
                <w:rFonts w:hint="eastAsia"/>
                <w:sz w:val="18"/>
                <w:szCs w:val="18"/>
              </w:rPr>
              <w:t>参会人员</w:t>
            </w:r>
          </w:p>
        </w:tc>
        <w:tc>
          <w:tcPr>
            <w:tcW w:w="4007" w:type="pct"/>
            <w:gridSpan w:val="3"/>
            <w:shd w:val="clear" w:color="auto" w:fill="auto"/>
            <w:vAlign w:val="center"/>
          </w:tcPr>
          <w:p>
            <w:pPr>
              <w:pStyle w:val="56"/>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14" w:hRule="atLeast"/>
          <w:jc w:val="center"/>
        </w:trPr>
        <w:tc>
          <w:tcPr>
            <w:tcW w:w="5000" w:type="pct"/>
            <w:gridSpan w:val="4"/>
            <w:shd w:val="clear" w:color="auto" w:fill="auto"/>
          </w:tcPr>
          <w:p>
            <w:pPr>
              <w:pStyle w:val="56"/>
              <w:ind w:firstLine="0" w:firstLineChars="0"/>
              <w:rPr>
                <w:sz w:val="18"/>
                <w:szCs w:val="18"/>
              </w:rPr>
            </w:pPr>
            <w:r>
              <w:rPr>
                <w:rFonts w:hint="eastAsia"/>
                <w:sz w:val="18"/>
                <w:szCs w:val="18"/>
              </w:rPr>
              <w:t>会议主要内容：</w:t>
            </w:r>
          </w:p>
        </w:tc>
      </w:tr>
    </w:tbl>
    <w:p>
      <w:pPr>
        <w:pStyle w:val="56"/>
        <w:ind w:firstLine="420"/>
      </w:pPr>
    </w:p>
    <w:p>
      <w:pPr>
        <w:pStyle w:val="56"/>
        <w:ind w:firstLine="420"/>
      </w:pPr>
    </w:p>
    <w:p>
      <w:pPr>
        <w:pStyle w:val="56"/>
        <w:ind w:firstLine="420"/>
      </w:pPr>
    </w:p>
    <w:p>
      <w:pPr>
        <w:pStyle w:val="198"/>
      </w:pPr>
    </w:p>
    <w:p>
      <w:pPr>
        <w:pStyle w:val="199"/>
      </w:pPr>
    </w:p>
    <w:p>
      <w:pPr>
        <w:pStyle w:val="76"/>
        <w:spacing w:after="156"/>
      </w:pPr>
      <w:bookmarkStart w:id="261" w:name="_Toc134194761"/>
      <w:bookmarkStart w:id="262" w:name="_Toc135404396"/>
      <w:bookmarkStart w:id="263" w:name="_Toc134112900"/>
      <w:bookmarkStart w:id="264" w:name="_Toc134175481"/>
      <w:bookmarkStart w:id="265" w:name="_Toc134112281"/>
      <w:bookmarkStart w:id="266" w:name="_Toc134195238"/>
      <w:bookmarkStart w:id="267" w:name="_Toc134175281"/>
      <w:bookmarkStart w:id="268" w:name="_Toc134174290"/>
      <w:bookmarkStart w:id="269" w:name="_Toc134175162"/>
      <w:bookmarkStart w:id="270" w:name="_Toc134186378"/>
      <w:bookmarkStart w:id="271" w:name="_Toc134175668"/>
    </w:p>
    <w:p>
      <w:pPr>
        <w:pStyle w:val="76"/>
        <w:spacing w:after="156"/>
      </w:pPr>
      <w:r>
        <w:rPr>
          <w:rFonts w:hint="eastAsia"/>
        </w:rPr>
        <w:t>（资料性）</w:t>
      </w:r>
    </w:p>
    <w:p>
      <w:pPr>
        <w:pStyle w:val="76"/>
        <w:spacing w:after="156"/>
      </w:pPr>
      <w:r>
        <w:rPr>
          <w:rFonts w:hint="eastAsia"/>
        </w:rPr>
        <w:t>安全检查台账</w:t>
      </w:r>
      <w:bookmarkEnd w:id="261"/>
      <w:bookmarkEnd w:id="262"/>
      <w:bookmarkEnd w:id="263"/>
      <w:bookmarkEnd w:id="264"/>
      <w:bookmarkEnd w:id="265"/>
      <w:bookmarkEnd w:id="266"/>
      <w:bookmarkEnd w:id="267"/>
      <w:bookmarkEnd w:id="268"/>
      <w:bookmarkEnd w:id="269"/>
      <w:bookmarkEnd w:id="270"/>
      <w:bookmarkEnd w:id="271"/>
    </w:p>
    <w:p>
      <w:pPr>
        <w:pStyle w:val="56"/>
        <w:ind w:firstLine="420"/>
      </w:pPr>
      <w:r>
        <w:rPr>
          <w:rFonts w:hint="eastAsia"/>
        </w:rPr>
        <w:t>安全检查台账见表G.1。</w:t>
      </w:r>
    </w:p>
    <w:p>
      <w:pPr>
        <w:pStyle w:val="77"/>
        <w:spacing w:before="156" w:after="156"/>
      </w:pPr>
      <w:r>
        <w:rPr>
          <w:rFonts w:hint="eastAsia"/>
        </w:rPr>
        <w:t>安全检查台账</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37"/>
        <w:gridCol w:w="937"/>
        <w:gridCol w:w="937"/>
        <w:gridCol w:w="937"/>
        <w:gridCol w:w="939"/>
        <w:gridCol w:w="937"/>
        <w:gridCol w:w="937"/>
        <w:gridCol w:w="938"/>
        <w:gridCol w:w="938"/>
        <w:gridCol w:w="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501" w:type="pct"/>
            <w:gridSpan w:val="5"/>
            <w:tcBorders>
              <w:top w:val="single" w:color="auto" w:sz="8" w:space="0"/>
              <w:bottom w:val="single" w:color="auto" w:sz="8" w:space="0"/>
            </w:tcBorders>
            <w:shd w:val="clear" w:color="auto" w:fill="auto"/>
            <w:vAlign w:val="center"/>
          </w:tcPr>
          <w:p>
            <w:pPr>
              <w:pStyle w:val="56"/>
              <w:ind w:firstLine="0" w:firstLineChars="0"/>
              <w:rPr>
                <w:sz w:val="18"/>
                <w:szCs w:val="18"/>
              </w:rPr>
            </w:pPr>
            <w:r>
              <w:rPr>
                <w:rFonts w:hint="eastAsia"/>
                <w:sz w:val="18"/>
                <w:szCs w:val="18"/>
              </w:rPr>
              <w:t>地区：</w:t>
            </w:r>
          </w:p>
        </w:tc>
        <w:tc>
          <w:tcPr>
            <w:tcW w:w="2499" w:type="pct"/>
            <w:gridSpan w:val="5"/>
            <w:tcBorders>
              <w:top w:val="single" w:color="auto" w:sz="8" w:space="0"/>
              <w:bottom w:val="single" w:color="auto" w:sz="8" w:space="0"/>
            </w:tcBorders>
            <w:shd w:val="clear" w:color="auto" w:fill="auto"/>
            <w:vAlign w:val="center"/>
          </w:tcPr>
          <w:p>
            <w:pPr>
              <w:pStyle w:val="56"/>
              <w:ind w:firstLine="0" w:firstLineChars="0"/>
              <w:rPr>
                <w:sz w:val="18"/>
                <w:szCs w:val="18"/>
              </w:rPr>
            </w:pPr>
            <w:r>
              <w:rPr>
                <w:rFonts w:hint="eastAsia"/>
                <w:sz w:val="18"/>
                <w:szCs w:val="18"/>
              </w:rPr>
              <w:t>公司名称：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检查日期</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检查形式</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检查地点</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检查人员</w:t>
            </w:r>
          </w:p>
        </w:tc>
        <w:tc>
          <w:tcPr>
            <w:tcW w:w="501"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检查内容</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检查结果</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负责人</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整改意见</w:t>
            </w:r>
          </w:p>
        </w:tc>
        <w:tc>
          <w:tcPr>
            <w:tcW w:w="500"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整改情况</w:t>
            </w:r>
          </w:p>
        </w:tc>
        <w:tc>
          <w:tcPr>
            <w:tcW w:w="499" w:type="pct"/>
            <w:tcBorders>
              <w:top w:val="single" w:color="auto" w:sz="8" w:space="0"/>
              <w:bottom w:val="single" w:color="auto" w:sz="8" w:space="0"/>
            </w:tcBorders>
            <w:shd w:val="clear" w:color="auto" w:fill="auto"/>
            <w:vAlign w:val="center"/>
          </w:tcPr>
          <w:p>
            <w:pPr>
              <w:pStyle w:val="56"/>
              <w:ind w:firstLine="0" w:firstLineChars="0"/>
              <w:jc w:val="center"/>
              <w:rPr>
                <w:sz w:val="18"/>
                <w:szCs w:val="18"/>
              </w:rPr>
            </w:pPr>
            <w:r>
              <w:rPr>
                <w:rFonts w:hint="eastAsia"/>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1"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500" w:type="pct"/>
            <w:shd w:val="clear" w:color="auto" w:fill="auto"/>
            <w:vAlign w:val="center"/>
          </w:tcPr>
          <w:p>
            <w:pPr>
              <w:pStyle w:val="56"/>
              <w:ind w:firstLine="0" w:firstLineChars="0"/>
              <w:jc w:val="center"/>
            </w:pPr>
          </w:p>
        </w:tc>
        <w:tc>
          <w:tcPr>
            <w:tcW w:w="499" w:type="pct"/>
            <w:shd w:val="clear" w:color="auto" w:fill="auto"/>
            <w:vAlign w:val="center"/>
          </w:tcPr>
          <w:p>
            <w:pPr>
              <w:pStyle w:val="56"/>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10"/>
            <w:tcBorders>
              <w:bottom w:val="single" w:color="auto" w:sz="8" w:space="0"/>
            </w:tcBorders>
            <w:shd w:val="clear" w:color="auto" w:fill="auto"/>
            <w:vAlign w:val="center"/>
          </w:tcPr>
          <w:p>
            <w:pPr>
              <w:pStyle w:val="179"/>
              <w:ind w:left="0" w:firstLine="0"/>
              <w:rPr>
                <w:szCs w:val="20"/>
              </w:rPr>
            </w:pPr>
            <w:r>
              <w:rPr>
                <w:rFonts w:hint="eastAsia"/>
              </w:rPr>
              <w:t>检查形式一栏写综合检查、日常检查、季节检查、专业检查中的一项或几项。</w:t>
            </w:r>
          </w:p>
        </w:tc>
      </w:tr>
    </w:tbl>
    <w:p>
      <w:pPr>
        <w:pStyle w:val="56"/>
        <w:ind w:firstLine="420"/>
      </w:pPr>
    </w:p>
    <w:p>
      <w:pPr>
        <w:pStyle w:val="56"/>
        <w:ind w:firstLine="420"/>
      </w:pPr>
    </w:p>
    <w:p>
      <w:pPr>
        <w:pStyle w:val="56"/>
        <w:ind w:firstLine="420"/>
        <w:sectPr>
          <w:headerReference r:id="rId43" w:type="default"/>
          <w:footerReference r:id="rId45" w:type="default"/>
          <w:headerReference r:id="rId44" w:type="even"/>
          <w:footerReference r:id="rId46"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272" w:name="_Toc134186379"/>
      <w:bookmarkStart w:id="273" w:name="_Toc134175669"/>
      <w:bookmarkStart w:id="274" w:name="_Toc134112282"/>
      <w:bookmarkStart w:id="275" w:name="_Toc135404397"/>
      <w:bookmarkStart w:id="276" w:name="_Toc134175482"/>
      <w:bookmarkStart w:id="277" w:name="_Toc134175163"/>
      <w:bookmarkStart w:id="278" w:name="_Toc134174291"/>
      <w:bookmarkStart w:id="279" w:name="_Toc134194762"/>
      <w:bookmarkStart w:id="280" w:name="_Toc134195239"/>
      <w:bookmarkStart w:id="281" w:name="_Toc134112901"/>
      <w:bookmarkStart w:id="282" w:name="_Toc134175282"/>
    </w:p>
    <w:p>
      <w:pPr>
        <w:pStyle w:val="76"/>
        <w:spacing w:after="156"/>
      </w:pPr>
      <w:r>
        <w:rPr>
          <w:rFonts w:hint="eastAsia"/>
        </w:rPr>
        <w:t>（资料性）</w:t>
      </w:r>
    </w:p>
    <w:p>
      <w:pPr>
        <w:pStyle w:val="76"/>
        <w:spacing w:after="156"/>
      </w:pPr>
      <w:r>
        <w:rPr>
          <w:rFonts w:hint="eastAsia"/>
        </w:rPr>
        <w:t>安全隐患整改台账</w:t>
      </w:r>
      <w:bookmarkEnd w:id="272"/>
      <w:bookmarkEnd w:id="273"/>
      <w:bookmarkEnd w:id="274"/>
      <w:bookmarkEnd w:id="275"/>
      <w:bookmarkEnd w:id="276"/>
      <w:bookmarkEnd w:id="277"/>
      <w:bookmarkEnd w:id="278"/>
      <w:bookmarkEnd w:id="279"/>
      <w:bookmarkEnd w:id="280"/>
      <w:bookmarkEnd w:id="281"/>
      <w:bookmarkEnd w:id="282"/>
    </w:p>
    <w:p>
      <w:pPr>
        <w:pStyle w:val="56"/>
        <w:ind w:firstLine="420"/>
      </w:pPr>
      <w:r>
        <w:rPr>
          <w:rFonts w:hint="eastAsia"/>
        </w:rPr>
        <w:t>安全隐患整改台账见表H</w:t>
      </w:r>
      <w:r>
        <w:t>.1</w:t>
      </w:r>
      <w:r>
        <w:rPr>
          <w:rFonts w:hint="eastAsia"/>
        </w:rPr>
        <w:t>。</w:t>
      </w:r>
    </w:p>
    <w:p>
      <w:pPr>
        <w:pStyle w:val="77"/>
        <w:spacing w:before="156" w:after="156"/>
      </w:pPr>
      <w:r>
        <w:rPr>
          <w:rFonts w:hint="eastAsia"/>
        </w:rPr>
        <w:t>安全隐患整改台账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4"/>
        <w:gridCol w:w="4602"/>
        <w:gridCol w:w="23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936" w:type="dxa"/>
            <w:gridSpan w:val="2"/>
            <w:tcBorders>
              <w:top w:val="single" w:color="auto" w:sz="8" w:space="0"/>
              <w:bottom w:val="single" w:color="auto" w:sz="8" w:space="0"/>
            </w:tcBorders>
            <w:shd w:val="clear" w:color="auto" w:fill="auto"/>
            <w:vAlign w:val="center"/>
          </w:tcPr>
          <w:p>
            <w:pPr>
              <w:pStyle w:val="178"/>
              <w:jc w:val="both"/>
              <w:rPr>
                <w:rFonts w:hAnsi="宋体"/>
                <w:szCs w:val="18"/>
              </w:rPr>
            </w:pPr>
            <w:r>
              <w:rPr>
                <w:rFonts w:hint="eastAsia" w:hAnsi="宋体"/>
                <w:szCs w:val="18"/>
              </w:rPr>
              <w:t>检查人</w:t>
            </w:r>
            <w:r>
              <w:rPr>
                <w:rFonts w:hint="eastAsia"/>
                <w:szCs w:val="18"/>
              </w:rPr>
              <w:t>：</w:t>
            </w:r>
          </w:p>
        </w:tc>
        <w:tc>
          <w:tcPr>
            <w:tcW w:w="2398" w:type="dxa"/>
            <w:tcBorders>
              <w:top w:val="single" w:color="auto" w:sz="8" w:space="0"/>
              <w:bottom w:val="single" w:color="auto" w:sz="8" w:space="0"/>
            </w:tcBorders>
            <w:shd w:val="clear" w:color="auto" w:fill="auto"/>
            <w:vAlign w:val="center"/>
          </w:tcPr>
          <w:p>
            <w:pPr>
              <w:pStyle w:val="178"/>
              <w:ind w:left="21" w:leftChars="10"/>
              <w:jc w:val="both"/>
              <w:rPr>
                <w:rFonts w:hAnsi="宋体"/>
                <w:szCs w:val="18"/>
              </w:rPr>
            </w:pPr>
            <w:r>
              <w:rPr>
                <w:rFonts w:hint="eastAsia" w:hAnsi="宋体"/>
                <w:szCs w:val="18"/>
              </w:rPr>
              <w:t>时间</w:t>
            </w:r>
            <w:r>
              <w:rPr>
                <w:rFonts w:hint="eastAsia"/>
                <w:szCs w:val="18"/>
              </w:rPr>
              <w:t>：</w:t>
            </w:r>
            <w:r>
              <w:rPr>
                <w:rFonts w:hint="eastAsia" w:hAnsi="宋体"/>
                <w:szCs w:val="18"/>
              </w:rPr>
              <w:t xml:space="preserve"> </w:t>
            </w:r>
            <w:r>
              <w:rPr>
                <w:rFonts w:hAnsi="宋体"/>
                <w:szCs w:val="18"/>
              </w:rPr>
              <w:t xml:space="preserve">    </w:t>
            </w:r>
            <w:r>
              <w:rPr>
                <w:rFonts w:hint="eastAsia" w:hAnsi="宋体"/>
                <w:szCs w:val="18"/>
              </w:rPr>
              <w:t xml:space="preserve">年 </w:t>
            </w:r>
            <w:r>
              <w:rPr>
                <w:rFonts w:hAnsi="宋体"/>
                <w:szCs w:val="18"/>
              </w:rPr>
              <w:t xml:space="preserve"> </w:t>
            </w:r>
            <w:r>
              <w:rPr>
                <w:rFonts w:hint="eastAsia" w:hAnsi="宋体"/>
                <w:szCs w:val="18"/>
              </w:rPr>
              <w:t xml:space="preserve">  月  </w:t>
            </w:r>
            <w:r>
              <w:rPr>
                <w:rFonts w:hAnsi="宋体"/>
                <w:szCs w:val="18"/>
              </w:rPr>
              <w:t xml:space="preserve"> </w:t>
            </w:r>
            <w:r>
              <w:rPr>
                <w:rFonts w:hint="eastAsia" w:hAnsi="宋体"/>
                <w:szCs w:val="18"/>
              </w:rPr>
              <w:t xml:space="preserve">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tcBorders>
              <w:top w:val="single" w:color="auto" w:sz="8" w:space="0"/>
            </w:tcBorders>
            <w:shd w:val="clear" w:color="auto" w:fill="auto"/>
            <w:vAlign w:val="center"/>
          </w:tcPr>
          <w:p>
            <w:pPr>
              <w:pStyle w:val="178"/>
              <w:rPr>
                <w:rFonts w:hAnsi="宋体"/>
                <w:szCs w:val="18"/>
              </w:rPr>
            </w:pPr>
            <w:r>
              <w:rPr>
                <w:rFonts w:hint="eastAsia" w:hAnsi="宋体"/>
                <w:szCs w:val="18"/>
              </w:rPr>
              <w:t>项目</w:t>
            </w:r>
          </w:p>
        </w:tc>
        <w:tc>
          <w:tcPr>
            <w:tcW w:w="7000" w:type="dxa"/>
            <w:gridSpan w:val="2"/>
            <w:tcBorders>
              <w:top w:val="single" w:color="auto" w:sz="8" w:space="0"/>
            </w:tcBorders>
            <w:shd w:val="clear" w:color="auto" w:fill="auto"/>
            <w:vAlign w:val="center"/>
          </w:tcPr>
          <w:p>
            <w:pPr>
              <w:pStyle w:val="178"/>
              <w:rPr>
                <w:rFonts w:hAnsi="宋体"/>
                <w:szCs w:val="18"/>
              </w:rPr>
            </w:pPr>
            <w:r>
              <w:rPr>
                <w:rFonts w:hint="eastAsia" w:hAnsi="宋体"/>
                <w:szCs w:val="18"/>
              </w:rPr>
              <w:t>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51" w:hRule="atLeast"/>
          <w:jc w:val="center"/>
        </w:trPr>
        <w:tc>
          <w:tcPr>
            <w:tcW w:w="2334" w:type="dxa"/>
            <w:shd w:val="clear" w:color="auto" w:fill="auto"/>
            <w:vAlign w:val="center"/>
          </w:tcPr>
          <w:p>
            <w:pPr>
              <w:pStyle w:val="178"/>
              <w:rPr>
                <w:rFonts w:hAnsi="宋体"/>
                <w:szCs w:val="18"/>
              </w:rPr>
            </w:pPr>
            <w:r>
              <w:rPr>
                <w:rFonts w:hint="eastAsia" w:hAnsi="宋体"/>
                <w:szCs w:val="18"/>
              </w:rPr>
              <w:t>检查内容</w:t>
            </w:r>
          </w:p>
        </w:tc>
        <w:tc>
          <w:tcPr>
            <w:tcW w:w="7000" w:type="dxa"/>
            <w:gridSpan w:val="2"/>
            <w:shd w:val="clear" w:color="auto" w:fill="auto"/>
            <w:vAlign w:val="center"/>
          </w:tcPr>
          <w:p>
            <w:pPr>
              <w:pStyle w:val="178"/>
              <w:jc w:val="both"/>
              <w:rPr>
                <w:rFonts w:hAnsi="宋体"/>
                <w:szCs w:val="18"/>
              </w:rPr>
            </w:pPr>
            <w:r>
              <w:rPr>
                <w:rFonts w:hAnsi="宋体"/>
                <w:szCs w:val="18"/>
              </w:rPr>
              <w:t>1.</w:t>
            </w:r>
          </w:p>
          <w:p>
            <w:pPr>
              <w:pStyle w:val="178"/>
              <w:jc w:val="both"/>
              <w:rPr>
                <w:rFonts w:hAnsi="宋体"/>
                <w:szCs w:val="18"/>
              </w:rPr>
            </w:pPr>
            <w:r>
              <w:rPr>
                <w:rFonts w:hAnsi="宋体"/>
                <w:szCs w:val="18"/>
              </w:rPr>
              <w:t>2.</w:t>
            </w:r>
          </w:p>
          <w:p>
            <w:pPr>
              <w:pStyle w:val="178"/>
              <w:jc w:val="both"/>
              <w:rPr>
                <w:rFonts w:hAnsi="宋体"/>
                <w:szCs w:val="18"/>
              </w:rPr>
            </w:pPr>
            <w:r>
              <w:rPr>
                <w:rFonts w:hAnsi="宋体"/>
                <w:szCs w:val="18"/>
              </w:rPr>
              <w:t>3.</w:t>
            </w:r>
          </w:p>
          <w:p>
            <w:pPr>
              <w:pStyle w:val="178"/>
              <w:jc w:val="both"/>
              <w:rPr>
                <w:rFonts w:hAnsi="宋体"/>
                <w:szCs w:val="18"/>
              </w:rPr>
            </w:pPr>
            <w:r>
              <w:rPr>
                <w:rFonts w:hint="eastAsia" w:hAnsi="宋体"/>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93" w:hRule="atLeast"/>
          <w:jc w:val="center"/>
        </w:trPr>
        <w:tc>
          <w:tcPr>
            <w:tcW w:w="2334" w:type="dxa"/>
            <w:shd w:val="clear" w:color="auto" w:fill="auto"/>
            <w:vAlign w:val="center"/>
          </w:tcPr>
          <w:p>
            <w:pPr>
              <w:pStyle w:val="178"/>
              <w:rPr>
                <w:rFonts w:hAnsi="宋体"/>
                <w:szCs w:val="18"/>
              </w:rPr>
            </w:pPr>
            <w:r>
              <w:rPr>
                <w:rFonts w:hint="eastAsia" w:hAnsi="宋体"/>
                <w:szCs w:val="18"/>
              </w:rPr>
              <w:t>安全隐患情况</w:t>
            </w:r>
          </w:p>
        </w:tc>
        <w:tc>
          <w:tcPr>
            <w:tcW w:w="7000" w:type="dxa"/>
            <w:gridSpan w:val="2"/>
            <w:shd w:val="clear" w:color="auto" w:fill="auto"/>
            <w:vAlign w:val="center"/>
          </w:tcPr>
          <w:p>
            <w:pPr>
              <w:spacing w:line="240" w:lineRule="auto"/>
              <w:rPr>
                <w:rFonts w:ascii="宋体" w:hAnsi="宋体"/>
                <w:sz w:val="18"/>
                <w:szCs w:val="18"/>
              </w:rPr>
            </w:pPr>
            <w:r>
              <w:rPr>
                <w:rFonts w:hint="eastAsia" w:ascii="宋体" w:hAnsi="宋体"/>
                <w:sz w:val="18"/>
                <w:szCs w:val="18"/>
              </w:rPr>
              <w:t>1</w:t>
            </w:r>
            <w:r>
              <w:rPr>
                <w:rFonts w:ascii="宋体" w:hAnsi="宋体"/>
                <w:sz w:val="18"/>
                <w:szCs w:val="18"/>
              </w:rPr>
              <w:t>.</w:t>
            </w:r>
          </w:p>
          <w:p>
            <w:pPr>
              <w:spacing w:line="240" w:lineRule="auto"/>
              <w:rPr>
                <w:rFonts w:ascii="宋体" w:hAnsi="宋体"/>
                <w:sz w:val="18"/>
                <w:szCs w:val="18"/>
              </w:rPr>
            </w:pPr>
            <w:r>
              <w:rPr>
                <w:rFonts w:hint="eastAsia" w:ascii="宋体" w:hAnsi="宋体"/>
                <w:sz w:val="18"/>
                <w:szCs w:val="18"/>
              </w:rPr>
              <w:t>2</w:t>
            </w:r>
            <w:r>
              <w:rPr>
                <w:rFonts w:ascii="宋体" w:hAnsi="宋体"/>
                <w:sz w:val="18"/>
                <w:szCs w:val="18"/>
              </w:rPr>
              <w:t>.</w:t>
            </w:r>
          </w:p>
          <w:p>
            <w:pPr>
              <w:spacing w:line="240" w:lineRule="auto"/>
              <w:rPr>
                <w:rFonts w:ascii="宋体" w:hAnsi="宋体"/>
                <w:sz w:val="18"/>
                <w:szCs w:val="18"/>
              </w:rPr>
            </w:pPr>
            <w:r>
              <w:rPr>
                <w:rFonts w:hint="eastAsia" w:ascii="宋体" w:hAnsi="宋体"/>
                <w:sz w:val="18"/>
                <w:szCs w:val="18"/>
              </w:rPr>
              <w:t>3</w:t>
            </w:r>
            <w:r>
              <w:rPr>
                <w:rFonts w:ascii="宋体" w:hAnsi="宋体"/>
                <w:sz w:val="18"/>
                <w:szCs w:val="18"/>
              </w:rPr>
              <w:t>.</w:t>
            </w:r>
          </w:p>
          <w:p>
            <w:pPr>
              <w:pStyle w:val="178"/>
              <w:jc w:val="both"/>
              <w:rPr>
                <w:rFonts w:hAnsi="宋体"/>
                <w:szCs w:val="18"/>
              </w:rPr>
            </w:pPr>
            <w:r>
              <w:rPr>
                <w:rFonts w:hint="eastAsia" w:hAnsi="宋体"/>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6" w:hRule="atLeast"/>
          <w:jc w:val="center"/>
        </w:trPr>
        <w:tc>
          <w:tcPr>
            <w:tcW w:w="2334" w:type="dxa"/>
            <w:shd w:val="clear" w:color="auto" w:fill="auto"/>
            <w:vAlign w:val="center"/>
          </w:tcPr>
          <w:p>
            <w:pPr>
              <w:pStyle w:val="178"/>
              <w:rPr>
                <w:rFonts w:hAnsi="宋体"/>
                <w:szCs w:val="18"/>
              </w:rPr>
            </w:pPr>
            <w:r>
              <w:rPr>
                <w:rFonts w:hint="eastAsia" w:hAnsi="宋体"/>
                <w:szCs w:val="18"/>
              </w:rPr>
              <w:t>整改方案及时限</w:t>
            </w:r>
          </w:p>
        </w:tc>
        <w:tc>
          <w:tcPr>
            <w:tcW w:w="7000" w:type="dxa"/>
            <w:gridSpan w:val="2"/>
            <w:shd w:val="clear" w:color="auto" w:fill="auto"/>
            <w:vAlign w:val="center"/>
          </w:tcPr>
          <w:p>
            <w:pPr>
              <w:pStyle w:val="178"/>
              <w:rPr>
                <w:rFonts w:hAnsi="宋体"/>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1" w:hRule="atLeast"/>
          <w:jc w:val="center"/>
        </w:trPr>
        <w:tc>
          <w:tcPr>
            <w:tcW w:w="2334" w:type="dxa"/>
            <w:shd w:val="clear" w:color="auto" w:fill="auto"/>
            <w:vAlign w:val="center"/>
          </w:tcPr>
          <w:p>
            <w:pPr>
              <w:pStyle w:val="178"/>
              <w:rPr>
                <w:rFonts w:hAnsi="宋体"/>
                <w:szCs w:val="18"/>
              </w:rPr>
            </w:pPr>
            <w:r>
              <w:rPr>
                <w:rFonts w:hint="eastAsia" w:hAnsi="宋体"/>
                <w:szCs w:val="18"/>
              </w:rPr>
              <w:t>整改责任人</w:t>
            </w:r>
          </w:p>
        </w:tc>
        <w:tc>
          <w:tcPr>
            <w:tcW w:w="7000" w:type="dxa"/>
            <w:gridSpan w:val="2"/>
            <w:shd w:val="clear" w:color="auto" w:fill="auto"/>
            <w:vAlign w:val="center"/>
          </w:tcPr>
          <w:p>
            <w:pPr>
              <w:pStyle w:val="178"/>
              <w:rPr>
                <w:rFonts w:hAnsi="宋体"/>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7" w:hRule="atLeast"/>
          <w:jc w:val="center"/>
        </w:trPr>
        <w:tc>
          <w:tcPr>
            <w:tcW w:w="2334" w:type="dxa"/>
            <w:tcBorders>
              <w:bottom w:val="single" w:color="auto" w:sz="8" w:space="0"/>
            </w:tcBorders>
            <w:shd w:val="clear" w:color="auto" w:fill="auto"/>
            <w:vAlign w:val="center"/>
          </w:tcPr>
          <w:p>
            <w:pPr>
              <w:pStyle w:val="178"/>
              <w:rPr>
                <w:rFonts w:hAnsi="宋体"/>
                <w:szCs w:val="18"/>
              </w:rPr>
            </w:pPr>
            <w:r>
              <w:rPr>
                <w:rFonts w:hint="eastAsia" w:hAnsi="宋体"/>
                <w:szCs w:val="18"/>
              </w:rPr>
              <w:t>复查结果</w:t>
            </w:r>
          </w:p>
        </w:tc>
        <w:tc>
          <w:tcPr>
            <w:tcW w:w="7000" w:type="dxa"/>
            <w:gridSpan w:val="2"/>
            <w:tcBorders>
              <w:bottom w:val="single" w:color="auto" w:sz="8" w:space="0"/>
            </w:tcBorders>
            <w:shd w:val="clear" w:color="auto" w:fill="auto"/>
            <w:vAlign w:val="center"/>
          </w:tcPr>
          <w:p>
            <w:pPr>
              <w:pStyle w:val="178"/>
              <w:rPr>
                <w:rFonts w:hAnsi="宋体"/>
                <w:szCs w:val="18"/>
              </w:rPr>
            </w:pPr>
          </w:p>
        </w:tc>
      </w:tr>
    </w:tbl>
    <w:p>
      <w:pPr>
        <w:pStyle w:val="56"/>
        <w:ind w:firstLine="420"/>
      </w:pPr>
    </w:p>
    <w:p>
      <w:pPr>
        <w:pStyle w:val="56"/>
        <w:ind w:firstLine="420"/>
      </w:pPr>
    </w:p>
    <w:p>
      <w:pPr>
        <w:pStyle w:val="56"/>
        <w:ind w:firstLine="420"/>
      </w:pPr>
    </w:p>
    <w:p>
      <w:pPr>
        <w:pStyle w:val="56"/>
        <w:ind w:firstLine="420"/>
        <w:sectPr>
          <w:headerReference r:id="rId47" w:type="default"/>
          <w:footerReference r:id="rId49" w:type="default"/>
          <w:headerReference r:id="rId48" w:type="even"/>
          <w:footerReference r:id="rId50"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283" w:name="_Toc134112902"/>
      <w:bookmarkStart w:id="284" w:name="_Toc134195240"/>
      <w:bookmarkStart w:id="285" w:name="_Toc134175483"/>
      <w:bookmarkStart w:id="286" w:name="_Toc134112283"/>
      <w:bookmarkStart w:id="287" w:name="_Toc135404398"/>
      <w:bookmarkStart w:id="288" w:name="_Toc134194763"/>
      <w:bookmarkStart w:id="289" w:name="_Toc134175283"/>
      <w:bookmarkStart w:id="290" w:name="_Toc134174292"/>
      <w:bookmarkStart w:id="291" w:name="_Toc134175164"/>
      <w:bookmarkStart w:id="292" w:name="_Toc134186380"/>
      <w:bookmarkStart w:id="293" w:name="_Toc134175670"/>
    </w:p>
    <w:p>
      <w:pPr>
        <w:pStyle w:val="76"/>
        <w:spacing w:after="156"/>
      </w:pPr>
      <w:r>
        <w:rPr>
          <w:rFonts w:hint="eastAsia"/>
        </w:rPr>
        <w:t>（资料性）</w:t>
      </w:r>
    </w:p>
    <w:p>
      <w:pPr>
        <w:pStyle w:val="76"/>
        <w:spacing w:after="156"/>
      </w:pPr>
      <w:r>
        <w:rPr>
          <w:rFonts w:hint="eastAsia"/>
        </w:rPr>
        <w:t>货运车辆进出场（站）台账</w:t>
      </w:r>
      <w:bookmarkEnd w:id="283"/>
      <w:bookmarkEnd w:id="284"/>
      <w:bookmarkEnd w:id="285"/>
      <w:bookmarkEnd w:id="286"/>
      <w:bookmarkEnd w:id="287"/>
      <w:bookmarkEnd w:id="288"/>
      <w:bookmarkEnd w:id="289"/>
      <w:bookmarkEnd w:id="290"/>
      <w:bookmarkEnd w:id="291"/>
      <w:bookmarkEnd w:id="292"/>
      <w:bookmarkEnd w:id="293"/>
    </w:p>
    <w:p>
      <w:pPr>
        <w:pStyle w:val="56"/>
        <w:ind w:firstLine="420"/>
      </w:pPr>
      <w:r>
        <w:rPr>
          <w:rFonts w:hint="eastAsia"/>
        </w:rPr>
        <w:t>货运车辆进出场（站）台账见表I</w:t>
      </w:r>
      <w:r>
        <w:t>.1</w:t>
      </w:r>
      <w:r>
        <w:rPr>
          <w:rFonts w:hint="eastAsia"/>
        </w:rPr>
        <w:t>。</w:t>
      </w:r>
    </w:p>
    <w:p>
      <w:pPr>
        <w:pStyle w:val="77"/>
        <w:spacing w:before="156" w:after="156"/>
      </w:pPr>
      <w:r>
        <w:rPr>
          <w:rFonts w:hint="eastAsia"/>
        </w:rPr>
        <w:t>货运车辆进出场（站）台账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84"/>
        <w:gridCol w:w="584"/>
        <w:gridCol w:w="584"/>
        <w:gridCol w:w="584"/>
        <w:gridCol w:w="584"/>
        <w:gridCol w:w="584"/>
        <w:gridCol w:w="583"/>
        <w:gridCol w:w="583"/>
        <w:gridCol w:w="583"/>
        <w:gridCol w:w="583"/>
        <w:gridCol w:w="583"/>
        <w:gridCol w:w="583"/>
        <w:gridCol w:w="583"/>
        <w:gridCol w:w="583"/>
        <w:gridCol w:w="583"/>
        <w:gridCol w:w="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70" w:type="dxa"/>
            <w:gridSpan w:val="8"/>
            <w:tcBorders>
              <w:top w:val="single" w:color="auto" w:sz="8" w:space="0"/>
              <w:bottom w:val="single" w:color="auto" w:sz="8" w:space="0"/>
            </w:tcBorders>
            <w:shd w:val="clear" w:color="auto" w:fill="auto"/>
            <w:vAlign w:val="center"/>
          </w:tcPr>
          <w:p>
            <w:pPr>
              <w:pStyle w:val="178"/>
              <w:jc w:val="both"/>
              <w:rPr>
                <w:szCs w:val="18"/>
              </w:rPr>
            </w:pPr>
            <w:r>
              <w:rPr>
                <w:rFonts w:hint="eastAsia"/>
                <w:szCs w:val="18"/>
              </w:rPr>
              <w:t>地区：</w:t>
            </w:r>
          </w:p>
        </w:tc>
        <w:tc>
          <w:tcPr>
            <w:tcW w:w="4664" w:type="dxa"/>
            <w:gridSpan w:val="8"/>
            <w:tcBorders>
              <w:top w:val="single" w:color="auto" w:sz="8" w:space="0"/>
              <w:bottom w:val="single" w:color="auto" w:sz="8" w:space="0"/>
            </w:tcBorders>
            <w:shd w:val="clear" w:color="auto" w:fill="auto"/>
            <w:vAlign w:val="center"/>
          </w:tcPr>
          <w:p>
            <w:pPr>
              <w:pStyle w:val="178"/>
              <w:jc w:val="both"/>
              <w:rPr>
                <w:szCs w:val="18"/>
              </w:rPr>
            </w:pPr>
            <w:r>
              <w:rPr>
                <w:rFonts w:hint="eastAsia"/>
                <w:szCs w:val="18"/>
              </w:rPr>
              <w:t>公司名称：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tcBorders>
              <w:top w:val="single" w:color="auto" w:sz="8" w:space="0"/>
            </w:tcBorders>
            <w:shd w:val="clear" w:color="auto" w:fill="auto"/>
            <w:vAlign w:val="center"/>
          </w:tcPr>
          <w:p>
            <w:pPr>
              <w:pStyle w:val="178"/>
              <w:rPr>
                <w:szCs w:val="18"/>
              </w:rPr>
            </w:pPr>
            <w:r>
              <w:rPr>
                <w:rFonts w:hint="eastAsia"/>
                <w:szCs w:val="18"/>
              </w:rPr>
              <w:t>日期</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类别</w:t>
            </w:r>
          </w:p>
          <w:p>
            <w:pPr>
              <w:pStyle w:val="178"/>
              <w:rPr>
                <w:szCs w:val="18"/>
              </w:rPr>
            </w:pPr>
            <w:r>
              <w:rPr>
                <w:rFonts w:hint="eastAsia"/>
                <w:szCs w:val="18"/>
              </w:rPr>
              <w:t>（进场/出场）</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车辆</w:t>
            </w:r>
          </w:p>
          <w:p>
            <w:pPr>
              <w:pStyle w:val="178"/>
              <w:rPr>
                <w:szCs w:val="18"/>
              </w:rPr>
            </w:pPr>
            <w:r>
              <w:rPr>
                <w:rFonts w:hint="eastAsia"/>
                <w:szCs w:val="18"/>
              </w:rPr>
              <w:t>号牌</w:t>
            </w:r>
          </w:p>
        </w:tc>
        <w:tc>
          <w:tcPr>
            <w:tcW w:w="584" w:type="dxa"/>
            <w:tcBorders>
              <w:top w:val="single" w:color="auto" w:sz="8" w:space="0"/>
            </w:tcBorders>
            <w:shd w:val="clear" w:color="auto" w:fill="auto"/>
            <w:vAlign w:val="center"/>
          </w:tcPr>
          <w:p>
            <w:pPr>
              <w:pStyle w:val="178"/>
              <w:rPr>
                <w:szCs w:val="18"/>
              </w:rPr>
            </w:pPr>
            <w:r>
              <w:rPr>
                <w:rFonts w:hint="eastAsia"/>
                <w:szCs w:val="18"/>
              </w:rPr>
              <w:t>车辆</w:t>
            </w:r>
          </w:p>
          <w:p>
            <w:pPr>
              <w:pStyle w:val="178"/>
              <w:rPr>
                <w:szCs w:val="18"/>
              </w:rPr>
            </w:pPr>
            <w:r>
              <w:rPr>
                <w:rFonts w:hint="eastAsia"/>
                <w:szCs w:val="18"/>
              </w:rPr>
              <w:t>道路</w:t>
            </w:r>
          </w:p>
          <w:p>
            <w:pPr>
              <w:pStyle w:val="178"/>
              <w:rPr>
                <w:szCs w:val="18"/>
              </w:rPr>
            </w:pPr>
            <w:r>
              <w:rPr>
                <w:rFonts w:hint="eastAsia"/>
                <w:szCs w:val="18"/>
              </w:rPr>
              <w:t>运输</w:t>
            </w:r>
          </w:p>
          <w:p>
            <w:pPr>
              <w:pStyle w:val="178"/>
              <w:rPr>
                <w:szCs w:val="18"/>
              </w:rPr>
            </w:pPr>
            <w:r>
              <w:rPr>
                <w:rFonts w:hint="eastAsia"/>
                <w:szCs w:val="18"/>
              </w:rPr>
              <w:t>证号</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挂车</w:t>
            </w:r>
          </w:p>
          <w:p>
            <w:pPr>
              <w:pStyle w:val="178"/>
              <w:rPr>
                <w:szCs w:val="18"/>
              </w:rPr>
            </w:pPr>
            <w:r>
              <w:rPr>
                <w:rFonts w:hint="eastAsia"/>
                <w:szCs w:val="18"/>
              </w:rPr>
              <w:t>号牌</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挂车</w:t>
            </w:r>
          </w:p>
          <w:p>
            <w:pPr>
              <w:pStyle w:val="178"/>
              <w:rPr>
                <w:szCs w:val="18"/>
              </w:rPr>
            </w:pPr>
            <w:r>
              <w:rPr>
                <w:rFonts w:hint="eastAsia"/>
                <w:szCs w:val="18"/>
              </w:rPr>
              <w:t>道路</w:t>
            </w:r>
          </w:p>
          <w:p>
            <w:pPr>
              <w:pStyle w:val="178"/>
              <w:rPr>
                <w:szCs w:val="18"/>
              </w:rPr>
            </w:pPr>
            <w:r>
              <w:rPr>
                <w:rFonts w:hint="eastAsia"/>
                <w:szCs w:val="18"/>
              </w:rPr>
              <w:t>运输</w:t>
            </w:r>
          </w:p>
          <w:p>
            <w:pPr>
              <w:pStyle w:val="178"/>
              <w:rPr>
                <w:szCs w:val="18"/>
              </w:rPr>
            </w:pPr>
            <w:r>
              <w:rPr>
                <w:rFonts w:hint="eastAsia"/>
                <w:szCs w:val="18"/>
              </w:rPr>
              <w:t>证号</w:t>
            </w:r>
          </w:p>
        </w:tc>
        <w:tc>
          <w:tcPr>
            <w:tcW w:w="583" w:type="dxa"/>
            <w:tcBorders>
              <w:top w:val="single" w:color="auto" w:sz="8" w:space="0"/>
            </w:tcBorders>
            <w:shd w:val="clear" w:color="auto" w:fill="auto"/>
            <w:vAlign w:val="center"/>
          </w:tcPr>
          <w:p>
            <w:pPr>
              <w:pStyle w:val="178"/>
              <w:rPr>
                <w:szCs w:val="18"/>
              </w:rPr>
            </w:pPr>
            <w:r>
              <w:rPr>
                <w:rFonts w:hint="eastAsia"/>
                <w:szCs w:val="18"/>
              </w:rPr>
              <w:t>轴型</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限载</w:t>
            </w:r>
          </w:p>
          <w:p>
            <w:pPr>
              <w:pStyle w:val="178"/>
              <w:rPr>
                <w:szCs w:val="18"/>
              </w:rPr>
            </w:pPr>
            <w:r>
              <w:rPr>
                <w:rFonts w:hint="eastAsia"/>
                <w:szCs w:val="18"/>
              </w:rPr>
              <w:t>标准</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驾驶</w:t>
            </w:r>
          </w:p>
          <w:p>
            <w:pPr>
              <w:spacing w:line="240" w:lineRule="auto"/>
              <w:jc w:val="center"/>
              <w:rPr>
                <w:sz w:val="18"/>
                <w:szCs w:val="18"/>
              </w:rPr>
            </w:pPr>
            <w:r>
              <w:rPr>
                <w:rFonts w:hint="eastAsia"/>
                <w:sz w:val="18"/>
                <w:szCs w:val="18"/>
              </w:rPr>
              <w:t>员姓</w:t>
            </w:r>
          </w:p>
          <w:p>
            <w:pPr>
              <w:spacing w:line="240" w:lineRule="auto"/>
              <w:jc w:val="center"/>
              <w:rPr>
                <w:sz w:val="18"/>
                <w:szCs w:val="18"/>
              </w:rPr>
            </w:pPr>
            <w:r>
              <w:rPr>
                <w:rFonts w:hint="eastAsia"/>
                <w:sz w:val="18"/>
                <w:szCs w:val="18"/>
              </w:rPr>
              <w:t>名</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驾驶</w:t>
            </w:r>
          </w:p>
          <w:p>
            <w:pPr>
              <w:spacing w:line="240" w:lineRule="auto"/>
              <w:jc w:val="center"/>
              <w:rPr>
                <w:sz w:val="18"/>
                <w:szCs w:val="18"/>
              </w:rPr>
            </w:pPr>
            <w:r>
              <w:rPr>
                <w:rFonts w:hint="eastAsia"/>
                <w:sz w:val="18"/>
                <w:szCs w:val="18"/>
              </w:rPr>
              <w:t>员从</w:t>
            </w:r>
          </w:p>
          <w:p>
            <w:pPr>
              <w:spacing w:line="240" w:lineRule="auto"/>
              <w:jc w:val="center"/>
              <w:rPr>
                <w:sz w:val="18"/>
                <w:szCs w:val="18"/>
              </w:rPr>
            </w:pPr>
            <w:r>
              <w:rPr>
                <w:rFonts w:hint="eastAsia"/>
                <w:sz w:val="18"/>
                <w:szCs w:val="18"/>
              </w:rPr>
              <w:t>业资</w:t>
            </w:r>
          </w:p>
          <w:p>
            <w:pPr>
              <w:spacing w:line="240" w:lineRule="auto"/>
              <w:jc w:val="center"/>
              <w:rPr>
                <w:sz w:val="18"/>
                <w:szCs w:val="18"/>
              </w:rPr>
            </w:pPr>
            <w:r>
              <w:rPr>
                <w:rFonts w:hint="eastAsia"/>
                <w:sz w:val="18"/>
                <w:szCs w:val="18"/>
              </w:rPr>
              <w:t>格证</w:t>
            </w:r>
          </w:p>
          <w:p>
            <w:pPr>
              <w:spacing w:line="240" w:lineRule="auto"/>
              <w:jc w:val="center"/>
              <w:rPr>
                <w:sz w:val="18"/>
                <w:szCs w:val="18"/>
              </w:rPr>
            </w:pPr>
            <w:r>
              <w:rPr>
                <w:rFonts w:hint="eastAsia"/>
                <w:sz w:val="18"/>
                <w:szCs w:val="18"/>
              </w:rPr>
              <w:t>号</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货物</w:t>
            </w:r>
          </w:p>
          <w:p>
            <w:pPr>
              <w:pStyle w:val="178"/>
              <w:rPr>
                <w:szCs w:val="18"/>
              </w:rPr>
            </w:pPr>
            <w:r>
              <w:rPr>
                <w:rFonts w:hint="eastAsia"/>
                <w:szCs w:val="18"/>
              </w:rPr>
              <w:t>品种</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装载</w:t>
            </w:r>
          </w:p>
          <w:p>
            <w:pPr>
              <w:spacing w:line="240" w:lineRule="auto"/>
              <w:jc w:val="center"/>
              <w:rPr>
                <w:sz w:val="18"/>
                <w:szCs w:val="18"/>
              </w:rPr>
            </w:pPr>
            <w:r>
              <w:rPr>
                <w:rFonts w:hint="eastAsia"/>
                <w:sz w:val="18"/>
                <w:szCs w:val="18"/>
              </w:rPr>
              <w:t>重量</w:t>
            </w:r>
          </w:p>
          <w:p>
            <w:pPr>
              <w:pStyle w:val="178"/>
              <w:rPr>
                <w:szCs w:val="18"/>
              </w:rPr>
            </w:pPr>
            <w:r>
              <w:rPr>
                <w:rFonts w:hint="eastAsia"/>
                <w:szCs w:val="18"/>
              </w:rPr>
              <w:t>（车货总重）</w:t>
            </w:r>
          </w:p>
        </w:tc>
        <w:tc>
          <w:tcPr>
            <w:tcW w:w="583" w:type="dxa"/>
            <w:tcBorders>
              <w:top w:val="single" w:color="auto" w:sz="8" w:space="0"/>
            </w:tcBorders>
            <w:shd w:val="clear" w:color="auto" w:fill="auto"/>
            <w:vAlign w:val="center"/>
          </w:tcPr>
          <w:p>
            <w:pPr>
              <w:pStyle w:val="178"/>
              <w:rPr>
                <w:szCs w:val="18"/>
              </w:rPr>
            </w:pPr>
            <w:r>
              <w:rPr>
                <w:rFonts w:hint="eastAsia"/>
                <w:szCs w:val="18"/>
              </w:rPr>
              <w:t>起运地</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托运</w:t>
            </w:r>
          </w:p>
          <w:p>
            <w:pPr>
              <w:pStyle w:val="178"/>
              <w:rPr>
                <w:szCs w:val="18"/>
              </w:rPr>
            </w:pPr>
            <w:r>
              <w:rPr>
                <w:rFonts w:hint="eastAsia"/>
                <w:szCs w:val="18"/>
              </w:rPr>
              <w:t>单位</w:t>
            </w:r>
          </w:p>
        </w:tc>
        <w:tc>
          <w:tcPr>
            <w:tcW w:w="583" w:type="dxa"/>
            <w:tcBorders>
              <w:top w:val="single" w:color="auto" w:sz="8" w:space="0"/>
            </w:tcBorders>
            <w:shd w:val="clear" w:color="auto" w:fill="auto"/>
            <w:vAlign w:val="center"/>
          </w:tcPr>
          <w:p>
            <w:pPr>
              <w:pStyle w:val="178"/>
              <w:rPr>
                <w:szCs w:val="18"/>
              </w:rPr>
            </w:pPr>
            <w:r>
              <w:rPr>
                <w:rFonts w:hint="eastAsia"/>
                <w:szCs w:val="18"/>
              </w:rPr>
              <w:t>送达</w:t>
            </w:r>
          </w:p>
          <w:p>
            <w:pPr>
              <w:pStyle w:val="178"/>
              <w:rPr>
                <w:szCs w:val="18"/>
              </w:rPr>
            </w:pPr>
            <w:r>
              <w:rPr>
                <w:rFonts w:hint="eastAsia"/>
                <w:szCs w:val="18"/>
              </w:rPr>
              <w:t>地</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收货</w:t>
            </w:r>
          </w:p>
          <w:p>
            <w:pPr>
              <w:pStyle w:val="178"/>
              <w:rPr>
                <w:szCs w:val="18"/>
              </w:rPr>
            </w:pPr>
            <w:r>
              <w:rPr>
                <w:rFonts w:hint="eastAsia"/>
                <w:szCs w:val="18"/>
              </w:rPr>
              <w:t>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16"/>
            <w:shd w:val="clear" w:color="auto" w:fill="auto"/>
            <w:vAlign w:val="center"/>
          </w:tcPr>
          <w:p>
            <w:pPr>
              <w:pStyle w:val="179"/>
              <w:ind w:left="0" w:firstLine="0"/>
            </w:pPr>
            <w:r>
              <w:rPr>
                <w:rFonts w:hint="eastAsia"/>
              </w:rPr>
              <w:t>省内车辆道路运输证号、挂车道路运输证号、驾驶员从业资格证号可以不填，省外车需要填写。</w:t>
            </w:r>
          </w:p>
        </w:tc>
      </w:tr>
    </w:tbl>
    <w:p>
      <w:pPr>
        <w:pStyle w:val="56"/>
        <w:ind w:firstLine="420"/>
      </w:pPr>
    </w:p>
    <w:p>
      <w:pPr>
        <w:pStyle w:val="56"/>
        <w:ind w:firstLine="420"/>
      </w:pPr>
    </w:p>
    <w:p>
      <w:pPr>
        <w:pStyle w:val="56"/>
        <w:ind w:firstLine="420"/>
      </w:pPr>
    </w:p>
    <w:p>
      <w:pPr>
        <w:pStyle w:val="56"/>
        <w:ind w:firstLine="420"/>
        <w:sectPr>
          <w:headerReference r:id="rId51" w:type="default"/>
          <w:footerReference r:id="rId53" w:type="default"/>
          <w:headerReference r:id="rId52" w:type="even"/>
          <w:footerReference r:id="rId54"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294" w:name="_Toc134195241"/>
      <w:bookmarkStart w:id="295" w:name="_Toc134175484"/>
      <w:bookmarkStart w:id="296" w:name="_Toc134175284"/>
      <w:bookmarkStart w:id="297" w:name="_Toc134194764"/>
      <w:bookmarkStart w:id="298" w:name="_Toc134175165"/>
      <w:bookmarkStart w:id="299" w:name="_Toc134112903"/>
      <w:bookmarkStart w:id="300" w:name="_Toc134112284"/>
      <w:bookmarkStart w:id="301" w:name="_Toc134175671"/>
      <w:bookmarkStart w:id="302" w:name="_Toc134186381"/>
      <w:bookmarkStart w:id="303" w:name="_Toc135404399"/>
      <w:bookmarkStart w:id="304" w:name="_Toc134174293"/>
    </w:p>
    <w:p>
      <w:pPr>
        <w:pStyle w:val="76"/>
        <w:spacing w:after="156"/>
      </w:pPr>
      <w:r>
        <w:rPr>
          <w:rFonts w:hint="eastAsia"/>
        </w:rPr>
        <w:t>（资料性）</w:t>
      </w:r>
    </w:p>
    <w:p>
      <w:pPr>
        <w:pStyle w:val="76"/>
        <w:spacing w:after="156"/>
      </w:pPr>
      <w:r>
        <w:rPr>
          <w:rFonts w:hint="eastAsia"/>
        </w:rPr>
        <w:t>超限运输车辆通行证登记台账</w:t>
      </w:r>
      <w:bookmarkEnd w:id="294"/>
      <w:bookmarkEnd w:id="295"/>
      <w:bookmarkEnd w:id="296"/>
      <w:bookmarkEnd w:id="297"/>
      <w:bookmarkEnd w:id="298"/>
      <w:bookmarkEnd w:id="299"/>
      <w:bookmarkEnd w:id="300"/>
      <w:bookmarkEnd w:id="301"/>
      <w:bookmarkEnd w:id="302"/>
      <w:bookmarkEnd w:id="303"/>
      <w:bookmarkEnd w:id="304"/>
    </w:p>
    <w:p>
      <w:pPr>
        <w:pStyle w:val="56"/>
        <w:ind w:firstLine="420"/>
      </w:pPr>
      <w:r>
        <w:rPr>
          <w:rFonts w:hint="eastAsia"/>
        </w:rPr>
        <w:t>超限运输车辆通行证登记台账见表J</w:t>
      </w:r>
      <w:r>
        <w:t>.1</w:t>
      </w:r>
      <w:r>
        <w:rPr>
          <w:rFonts w:hint="eastAsia"/>
        </w:rPr>
        <w:t>。</w:t>
      </w:r>
    </w:p>
    <w:p>
      <w:pPr>
        <w:pStyle w:val="77"/>
        <w:spacing w:before="156" w:after="156"/>
      </w:pPr>
      <w:r>
        <w:rPr>
          <w:rFonts w:hint="eastAsia"/>
        </w:rPr>
        <w:t>超限运输车辆通行证登记台账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73"/>
        <w:gridCol w:w="475"/>
        <w:gridCol w:w="473"/>
        <w:gridCol w:w="474"/>
        <w:gridCol w:w="477"/>
        <w:gridCol w:w="477"/>
        <w:gridCol w:w="477"/>
        <w:gridCol w:w="477"/>
        <w:gridCol w:w="477"/>
        <w:gridCol w:w="474"/>
        <w:gridCol w:w="476"/>
        <w:gridCol w:w="476"/>
        <w:gridCol w:w="550"/>
        <w:gridCol w:w="550"/>
        <w:gridCol w:w="550"/>
        <w:gridCol w:w="550"/>
        <w:gridCol w:w="476"/>
        <w:gridCol w:w="476"/>
        <w:gridCol w:w="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280" w:type="dxa"/>
            <w:gridSpan w:val="9"/>
            <w:tcBorders>
              <w:top w:val="single" w:color="auto" w:sz="8" w:space="0"/>
              <w:bottom w:val="single" w:color="auto" w:sz="8" w:space="0"/>
            </w:tcBorders>
            <w:shd w:val="clear" w:color="auto" w:fill="auto"/>
            <w:vAlign w:val="center"/>
          </w:tcPr>
          <w:p>
            <w:pPr>
              <w:pStyle w:val="178"/>
              <w:jc w:val="both"/>
              <w:rPr>
                <w:szCs w:val="18"/>
              </w:rPr>
            </w:pPr>
            <w:r>
              <w:rPr>
                <w:rFonts w:hint="eastAsia"/>
                <w:szCs w:val="18"/>
              </w:rPr>
              <w:t>地区：</w:t>
            </w:r>
          </w:p>
        </w:tc>
        <w:tc>
          <w:tcPr>
            <w:tcW w:w="5054" w:type="dxa"/>
            <w:gridSpan w:val="10"/>
            <w:tcBorders>
              <w:top w:val="single" w:color="auto" w:sz="8" w:space="0"/>
              <w:bottom w:val="single" w:color="auto" w:sz="8" w:space="0"/>
            </w:tcBorders>
            <w:shd w:val="clear" w:color="auto" w:fill="auto"/>
            <w:vAlign w:val="center"/>
          </w:tcPr>
          <w:p>
            <w:pPr>
              <w:pStyle w:val="178"/>
              <w:jc w:val="both"/>
              <w:rPr>
                <w:szCs w:val="18"/>
              </w:rPr>
            </w:pPr>
            <w:r>
              <w:rPr>
                <w:rFonts w:hint="eastAsia"/>
                <w:szCs w:val="18"/>
              </w:rPr>
              <w:t>公司名称：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tcBorders>
              <w:top w:val="single" w:color="auto" w:sz="8" w:space="0"/>
            </w:tcBorders>
            <w:shd w:val="clear" w:color="auto" w:fill="auto"/>
            <w:vAlign w:val="center"/>
          </w:tcPr>
          <w:p>
            <w:pPr>
              <w:pStyle w:val="178"/>
              <w:rPr>
                <w:szCs w:val="18"/>
              </w:rPr>
            </w:pPr>
            <w:r>
              <w:rPr>
                <w:rFonts w:hint="eastAsia"/>
                <w:szCs w:val="18"/>
              </w:rPr>
              <w:t>联系人</w:t>
            </w:r>
          </w:p>
        </w:tc>
        <w:tc>
          <w:tcPr>
            <w:tcW w:w="475"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联系</w:t>
            </w:r>
          </w:p>
          <w:p>
            <w:pPr>
              <w:pStyle w:val="178"/>
              <w:rPr>
                <w:szCs w:val="18"/>
              </w:rPr>
            </w:pPr>
            <w:r>
              <w:rPr>
                <w:rFonts w:hint="eastAsia"/>
                <w:szCs w:val="18"/>
              </w:rPr>
              <w:t>方式</w:t>
            </w:r>
          </w:p>
        </w:tc>
        <w:tc>
          <w:tcPr>
            <w:tcW w:w="473" w:type="dxa"/>
            <w:tcBorders>
              <w:top w:val="single" w:color="auto" w:sz="8" w:space="0"/>
            </w:tcBorders>
            <w:shd w:val="clear" w:color="auto" w:fill="auto"/>
            <w:vAlign w:val="center"/>
          </w:tcPr>
          <w:p>
            <w:pPr>
              <w:pStyle w:val="178"/>
              <w:rPr>
                <w:szCs w:val="18"/>
              </w:rPr>
            </w:pPr>
            <w:r>
              <w:rPr>
                <w:rFonts w:hint="eastAsia"/>
                <w:szCs w:val="18"/>
              </w:rPr>
              <w:t>驾驶员姓名</w:t>
            </w:r>
          </w:p>
        </w:tc>
        <w:tc>
          <w:tcPr>
            <w:tcW w:w="474" w:type="dxa"/>
            <w:tcBorders>
              <w:top w:val="single" w:color="auto" w:sz="8" w:space="0"/>
            </w:tcBorders>
            <w:shd w:val="clear" w:color="auto" w:fill="auto"/>
            <w:vAlign w:val="center"/>
          </w:tcPr>
          <w:p>
            <w:pPr>
              <w:pStyle w:val="178"/>
              <w:rPr>
                <w:szCs w:val="18"/>
              </w:rPr>
            </w:pPr>
            <w:r>
              <w:rPr>
                <w:rFonts w:hint="eastAsia"/>
                <w:szCs w:val="18"/>
              </w:rPr>
              <w:t>驾驶员从业资格证号</w:t>
            </w:r>
          </w:p>
        </w:tc>
        <w:tc>
          <w:tcPr>
            <w:tcW w:w="477"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登记</w:t>
            </w:r>
          </w:p>
          <w:p>
            <w:pPr>
              <w:pStyle w:val="178"/>
              <w:rPr>
                <w:szCs w:val="18"/>
              </w:rPr>
            </w:pPr>
            <w:r>
              <w:rPr>
                <w:rFonts w:hint="eastAsia"/>
                <w:szCs w:val="18"/>
              </w:rPr>
              <w:t>时间</w:t>
            </w:r>
          </w:p>
        </w:tc>
        <w:tc>
          <w:tcPr>
            <w:tcW w:w="477"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有效</w:t>
            </w:r>
          </w:p>
          <w:p>
            <w:pPr>
              <w:pStyle w:val="178"/>
              <w:rPr>
                <w:szCs w:val="18"/>
              </w:rPr>
            </w:pPr>
            <w:r>
              <w:rPr>
                <w:rFonts w:hint="eastAsia"/>
                <w:szCs w:val="18"/>
              </w:rPr>
              <w:t>范围</w:t>
            </w:r>
          </w:p>
        </w:tc>
        <w:tc>
          <w:tcPr>
            <w:tcW w:w="477"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通行</w:t>
            </w:r>
          </w:p>
          <w:p>
            <w:pPr>
              <w:pStyle w:val="178"/>
              <w:rPr>
                <w:szCs w:val="18"/>
              </w:rPr>
            </w:pPr>
            <w:r>
              <w:rPr>
                <w:rFonts w:hint="eastAsia"/>
                <w:szCs w:val="18"/>
              </w:rPr>
              <w:t>时间</w:t>
            </w:r>
          </w:p>
        </w:tc>
        <w:tc>
          <w:tcPr>
            <w:tcW w:w="477"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通行</w:t>
            </w:r>
          </w:p>
          <w:p>
            <w:pPr>
              <w:pStyle w:val="178"/>
              <w:rPr>
                <w:szCs w:val="18"/>
              </w:rPr>
            </w:pPr>
            <w:r>
              <w:rPr>
                <w:rFonts w:hint="eastAsia"/>
                <w:szCs w:val="18"/>
              </w:rPr>
              <w:t>次数</w:t>
            </w:r>
          </w:p>
        </w:tc>
        <w:tc>
          <w:tcPr>
            <w:tcW w:w="477"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承运</w:t>
            </w:r>
          </w:p>
          <w:p>
            <w:pPr>
              <w:pStyle w:val="178"/>
              <w:rPr>
                <w:szCs w:val="18"/>
              </w:rPr>
            </w:pPr>
            <w:r>
              <w:rPr>
                <w:rFonts w:hint="eastAsia"/>
                <w:szCs w:val="18"/>
              </w:rPr>
              <w:t>单位</w:t>
            </w:r>
          </w:p>
        </w:tc>
        <w:tc>
          <w:tcPr>
            <w:tcW w:w="474" w:type="dxa"/>
            <w:tcBorders>
              <w:top w:val="single" w:color="auto" w:sz="8" w:space="0"/>
            </w:tcBorders>
            <w:shd w:val="clear" w:color="auto" w:fill="auto"/>
            <w:vAlign w:val="center"/>
          </w:tcPr>
          <w:p>
            <w:pPr>
              <w:pStyle w:val="178"/>
              <w:rPr>
                <w:szCs w:val="18"/>
              </w:rPr>
            </w:pPr>
            <w:r>
              <w:rPr>
                <w:rFonts w:hint="eastAsia"/>
                <w:szCs w:val="18"/>
              </w:rPr>
              <w:t>牵引车车号牌</w:t>
            </w:r>
          </w:p>
        </w:tc>
        <w:tc>
          <w:tcPr>
            <w:tcW w:w="476"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挂车</w:t>
            </w:r>
          </w:p>
          <w:p>
            <w:pPr>
              <w:pStyle w:val="178"/>
              <w:rPr>
                <w:szCs w:val="18"/>
              </w:rPr>
            </w:pPr>
            <w:r>
              <w:rPr>
                <w:rFonts w:hint="eastAsia"/>
                <w:szCs w:val="18"/>
              </w:rPr>
              <w:t>车号牌</w:t>
            </w:r>
          </w:p>
        </w:tc>
        <w:tc>
          <w:tcPr>
            <w:tcW w:w="476"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货物</w:t>
            </w:r>
          </w:p>
          <w:p>
            <w:pPr>
              <w:pStyle w:val="178"/>
              <w:rPr>
                <w:szCs w:val="18"/>
              </w:rPr>
            </w:pPr>
            <w:r>
              <w:rPr>
                <w:rFonts w:hint="eastAsia"/>
                <w:szCs w:val="18"/>
              </w:rPr>
              <w:t>名称</w:t>
            </w:r>
          </w:p>
        </w:tc>
        <w:tc>
          <w:tcPr>
            <w:tcW w:w="550"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货物</w:t>
            </w:r>
          </w:p>
          <w:p>
            <w:pPr>
              <w:pStyle w:val="178"/>
              <w:rPr>
                <w:szCs w:val="18"/>
              </w:rPr>
            </w:pPr>
            <w:r>
              <w:rPr>
                <w:rFonts w:hint="eastAsia"/>
                <w:szCs w:val="18"/>
              </w:rPr>
              <w:t>质量（吨）</w:t>
            </w:r>
          </w:p>
        </w:tc>
        <w:tc>
          <w:tcPr>
            <w:tcW w:w="550"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整备</w:t>
            </w:r>
          </w:p>
          <w:p>
            <w:pPr>
              <w:pStyle w:val="178"/>
              <w:rPr>
                <w:szCs w:val="18"/>
              </w:rPr>
            </w:pPr>
            <w:r>
              <w:rPr>
                <w:rFonts w:hint="eastAsia"/>
                <w:szCs w:val="18"/>
              </w:rPr>
              <w:t>质量（吨）</w:t>
            </w:r>
          </w:p>
        </w:tc>
        <w:tc>
          <w:tcPr>
            <w:tcW w:w="550"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车货</w:t>
            </w:r>
          </w:p>
          <w:p>
            <w:pPr>
              <w:pStyle w:val="178"/>
              <w:rPr>
                <w:szCs w:val="18"/>
              </w:rPr>
            </w:pPr>
            <w:r>
              <w:rPr>
                <w:rFonts w:hint="eastAsia"/>
                <w:szCs w:val="18"/>
              </w:rPr>
              <w:t>总质量（吨）</w:t>
            </w:r>
          </w:p>
        </w:tc>
        <w:tc>
          <w:tcPr>
            <w:tcW w:w="550"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车货</w:t>
            </w:r>
          </w:p>
          <w:p>
            <w:pPr>
              <w:spacing w:line="240" w:lineRule="auto"/>
              <w:jc w:val="center"/>
              <w:rPr>
                <w:sz w:val="18"/>
                <w:szCs w:val="18"/>
              </w:rPr>
            </w:pPr>
            <w:r>
              <w:rPr>
                <w:rFonts w:hint="eastAsia"/>
                <w:sz w:val="18"/>
                <w:szCs w:val="18"/>
              </w:rPr>
              <w:t>总体</w:t>
            </w:r>
          </w:p>
          <w:p>
            <w:pPr>
              <w:spacing w:line="240" w:lineRule="auto"/>
              <w:jc w:val="center"/>
              <w:rPr>
                <w:sz w:val="18"/>
                <w:szCs w:val="18"/>
              </w:rPr>
            </w:pPr>
            <w:r>
              <w:rPr>
                <w:rFonts w:hint="eastAsia"/>
                <w:sz w:val="18"/>
                <w:szCs w:val="18"/>
              </w:rPr>
              <w:t>外廓</w:t>
            </w:r>
          </w:p>
          <w:p>
            <w:pPr>
              <w:pStyle w:val="178"/>
              <w:rPr>
                <w:szCs w:val="18"/>
              </w:rPr>
            </w:pPr>
            <w:r>
              <w:rPr>
                <w:rFonts w:hint="eastAsia"/>
                <w:szCs w:val="18"/>
              </w:rPr>
              <w:t>尺寸（米）</w:t>
            </w:r>
          </w:p>
        </w:tc>
        <w:tc>
          <w:tcPr>
            <w:tcW w:w="476"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轴荷</w:t>
            </w:r>
          </w:p>
          <w:p>
            <w:pPr>
              <w:pStyle w:val="178"/>
              <w:rPr>
                <w:szCs w:val="18"/>
              </w:rPr>
            </w:pPr>
            <w:r>
              <w:rPr>
                <w:rFonts w:hint="eastAsia"/>
                <w:szCs w:val="18"/>
              </w:rPr>
              <w:t>分布</w:t>
            </w:r>
          </w:p>
        </w:tc>
        <w:tc>
          <w:tcPr>
            <w:tcW w:w="476"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通行</w:t>
            </w:r>
          </w:p>
          <w:p>
            <w:pPr>
              <w:pStyle w:val="178"/>
              <w:rPr>
                <w:szCs w:val="18"/>
              </w:rPr>
            </w:pPr>
            <w:r>
              <w:rPr>
                <w:rFonts w:hint="eastAsia"/>
                <w:szCs w:val="18"/>
              </w:rPr>
              <w:t>线路</w:t>
            </w:r>
          </w:p>
        </w:tc>
        <w:tc>
          <w:tcPr>
            <w:tcW w:w="476"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护送</w:t>
            </w:r>
          </w:p>
          <w:p>
            <w:pPr>
              <w:pStyle w:val="178"/>
              <w:rPr>
                <w:szCs w:val="18"/>
              </w:rPr>
            </w:pPr>
            <w:r>
              <w:rPr>
                <w:rFonts w:hint="eastAsia"/>
                <w:szCs w:val="18"/>
              </w:rPr>
              <w:t>车辆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shd w:val="clear" w:color="auto" w:fill="auto"/>
            <w:vAlign w:val="center"/>
          </w:tcPr>
          <w:p>
            <w:pPr>
              <w:pStyle w:val="178"/>
            </w:pPr>
          </w:p>
        </w:tc>
        <w:tc>
          <w:tcPr>
            <w:tcW w:w="475" w:type="dxa"/>
            <w:shd w:val="clear" w:color="auto" w:fill="auto"/>
            <w:vAlign w:val="center"/>
          </w:tcPr>
          <w:p>
            <w:pPr>
              <w:pStyle w:val="178"/>
            </w:pPr>
          </w:p>
        </w:tc>
        <w:tc>
          <w:tcPr>
            <w:tcW w:w="473" w:type="dxa"/>
            <w:shd w:val="clear" w:color="auto" w:fill="auto"/>
            <w:vAlign w:val="center"/>
          </w:tcPr>
          <w:p>
            <w:pPr>
              <w:pStyle w:val="178"/>
            </w:pPr>
          </w:p>
        </w:tc>
        <w:tc>
          <w:tcPr>
            <w:tcW w:w="474"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7" w:type="dxa"/>
            <w:shd w:val="clear" w:color="auto" w:fill="auto"/>
            <w:vAlign w:val="center"/>
          </w:tcPr>
          <w:p>
            <w:pPr>
              <w:pStyle w:val="178"/>
            </w:pPr>
          </w:p>
        </w:tc>
        <w:tc>
          <w:tcPr>
            <w:tcW w:w="474"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550"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c>
          <w:tcPr>
            <w:tcW w:w="476"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73" w:type="dxa"/>
            <w:tcBorders>
              <w:bottom w:val="single" w:color="auto" w:sz="8" w:space="0"/>
            </w:tcBorders>
            <w:shd w:val="clear" w:color="auto" w:fill="auto"/>
            <w:vAlign w:val="center"/>
          </w:tcPr>
          <w:p>
            <w:pPr>
              <w:pStyle w:val="178"/>
            </w:pPr>
          </w:p>
        </w:tc>
        <w:tc>
          <w:tcPr>
            <w:tcW w:w="475" w:type="dxa"/>
            <w:tcBorders>
              <w:bottom w:val="single" w:color="auto" w:sz="8" w:space="0"/>
            </w:tcBorders>
            <w:shd w:val="clear" w:color="auto" w:fill="auto"/>
            <w:vAlign w:val="center"/>
          </w:tcPr>
          <w:p>
            <w:pPr>
              <w:pStyle w:val="178"/>
            </w:pPr>
          </w:p>
        </w:tc>
        <w:tc>
          <w:tcPr>
            <w:tcW w:w="473" w:type="dxa"/>
            <w:tcBorders>
              <w:bottom w:val="single" w:color="auto" w:sz="8" w:space="0"/>
            </w:tcBorders>
            <w:shd w:val="clear" w:color="auto" w:fill="auto"/>
            <w:vAlign w:val="center"/>
          </w:tcPr>
          <w:p>
            <w:pPr>
              <w:pStyle w:val="178"/>
            </w:pPr>
          </w:p>
        </w:tc>
        <w:tc>
          <w:tcPr>
            <w:tcW w:w="474" w:type="dxa"/>
            <w:tcBorders>
              <w:bottom w:val="single" w:color="auto" w:sz="8" w:space="0"/>
            </w:tcBorders>
            <w:shd w:val="clear" w:color="auto" w:fill="auto"/>
            <w:vAlign w:val="center"/>
          </w:tcPr>
          <w:p>
            <w:pPr>
              <w:pStyle w:val="178"/>
            </w:pPr>
          </w:p>
        </w:tc>
        <w:tc>
          <w:tcPr>
            <w:tcW w:w="477" w:type="dxa"/>
            <w:tcBorders>
              <w:bottom w:val="single" w:color="auto" w:sz="8" w:space="0"/>
            </w:tcBorders>
            <w:shd w:val="clear" w:color="auto" w:fill="auto"/>
            <w:vAlign w:val="center"/>
          </w:tcPr>
          <w:p>
            <w:pPr>
              <w:pStyle w:val="178"/>
            </w:pPr>
          </w:p>
        </w:tc>
        <w:tc>
          <w:tcPr>
            <w:tcW w:w="477" w:type="dxa"/>
            <w:tcBorders>
              <w:bottom w:val="single" w:color="auto" w:sz="8" w:space="0"/>
            </w:tcBorders>
            <w:shd w:val="clear" w:color="auto" w:fill="auto"/>
            <w:vAlign w:val="center"/>
          </w:tcPr>
          <w:p>
            <w:pPr>
              <w:pStyle w:val="178"/>
            </w:pPr>
          </w:p>
        </w:tc>
        <w:tc>
          <w:tcPr>
            <w:tcW w:w="477" w:type="dxa"/>
            <w:tcBorders>
              <w:bottom w:val="single" w:color="auto" w:sz="8" w:space="0"/>
            </w:tcBorders>
            <w:shd w:val="clear" w:color="auto" w:fill="auto"/>
            <w:vAlign w:val="center"/>
          </w:tcPr>
          <w:p>
            <w:pPr>
              <w:pStyle w:val="178"/>
            </w:pPr>
          </w:p>
        </w:tc>
        <w:tc>
          <w:tcPr>
            <w:tcW w:w="477" w:type="dxa"/>
            <w:tcBorders>
              <w:bottom w:val="single" w:color="auto" w:sz="8" w:space="0"/>
            </w:tcBorders>
            <w:shd w:val="clear" w:color="auto" w:fill="auto"/>
            <w:vAlign w:val="center"/>
          </w:tcPr>
          <w:p>
            <w:pPr>
              <w:pStyle w:val="178"/>
            </w:pPr>
          </w:p>
        </w:tc>
        <w:tc>
          <w:tcPr>
            <w:tcW w:w="477" w:type="dxa"/>
            <w:tcBorders>
              <w:bottom w:val="single" w:color="auto" w:sz="8" w:space="0"/>
            </w:tcBorders>
            <w:shd w:val="clear" w:color="auto" w:fill="auto"/>
            <w:vAlign w:val="center"/>
          </w:tcPr>
          <w:p>
            <w:pPr>
              <w:pStyle w:val="178"/>
            </w:pPr>
          </w:p>
        </w:tc>
        <w:tc>
          <w:tcPr>
            <w:tcW w:w="474" w:type="dxa"/>
            <w:tcBorders>
              <w:bottom w:val="single" w:color="auto" w:sz="8" w:space="0"/>
            </w:tcBorders>
            <w:shd w:val="clear" w:color="auto" w:fill="auto"/>
            <w:vAlign w:val="center"/>
          </w:tcPr>
          <w:p>
            <w:pPr>
              <w:pStyle w:val="178"/>
            </w:pPr>
          </w:p>
        </w:tc>
        <w:tc>
          <w:tcPr>
            <w:tcW w:w="476" w:type="dxa"/>
            <w:tcBorders>
              <w:bottom w:val="single" w:color="auto" w:sz="8" w:space="0"/>
            </w:tcBorders>
            <w:shd w:val="clear" w:color="auto" w:fill="auto"/>
            <w:vAlign w:val="center"/>
          </w:tcPr>
          <w:p>
            <w:pPr>
              <w:pStyle w:val="178"/>
            </w:pPr>
          </w:p>
        </w:tc>
        <w:tc>
          <w:tcPr>
            <w:tcW w:w="476" w:type="dxa"/>
            <w:tcBorders>
              <w:bottom w:val="single" w:color="auto" w:sz="8" w:space="0"/>
            </w:tcBorders>
            <w:shd w:val="clear" w:color="auto" w:fill="auto"/>
            <w:vAlign w:val="center"/>
          </w:tcPr>
          <w:p>
            <w:pPr>
              <w:pStyle w:val="178"/>
            </w:pPr>
          </w:p>
        </w:tc>
        <w:tc>
          <w:tcPr>
            <w:tcW w:w="550" w:type="dxa"/>
            <w:tcBorders>
              <w:bottom w:val="single" w:color="auto" w:sz="8" w:space="0"/>
            </w:tcBorders>
            <w:shd w:val="clear" w:color="auto" w:fill="auto"/>
            <w:vAlign w:val="center"/>
          </w:tcPr>
          <w:p>
            <w:pPr>
              <w:pStyle w:val="178"/>
            </w:pPr>
          </w:p>
        </w:tc>
        <w:tc>
          <w:tcPr>
            <w:tcW w:w="550" w:type="dxa"/>
            <w:tcBorders>
              <w:bottom w:val="single" w:color="auto" w:sz="8" w:space="0"/>
            </w:tcBorders>
            <w:shd w:val="clear" w:color="auto" w:fill="auto"/>
            <w:vAlign w:val="center"/>
          </w:tcPr>
          <w:p>
            <w:pPr>
              <w:pStyle w:val="178"/>
            </w:pPr>
          </w:p>
        </w:tc>
        <w:tc>
          <w:tcPr>
            <w:tcW w:w="550" w:type="dxa"/>
            <w:tcBorders>
              <w:bottom w:val="single" w:color="auto" w:sz="8" w:space="0"/>
            </w:tcBorders>
            <w:shd w:val="clear" w:color="auto" w:fill="auto"/>
            <w:vAlign w:val="center"/>
          </w:tcPr>
          <w:p>
            <w:pPr>
              <w:pStyle w:val="178"/>
            </w:pPr>
          </w:p>
        </w:tc>
        <w:tc>
          <w:tcPr>
            <w:tcW w:w="550" w:type="dxa"/>
            <w:tcBorders>
              <w:bottom w:val="single" w:color="auto" w:sz="8" w:space="0"/>
            </w:tcBorders>
            <w:shd w:val="clear" w:color="auto" w:fill="auto"/>
            <w:vAlign w:val="center"/>
          </w:tcPr>
          <w:p>
            <w:pPr>
              <w:pStyle w:val="178"/>
            </w:pPr>
          </w:p>
        </w:tc>
        <w:tc>
          <w:tcPr>
            <w:tcW w:w="476" w:type="dxa"/>
            <w:tcBorders>
              <w:bottom w:val="single" w:color="auto" w:sz="8" w:space="0"/>
            </w:tcBorders>
            <w:shd w:val="clear" w:color="auto" w:fill="auto"/>
            <w:vAlign w:val="center"/>
          </w:tcPr>
          <w:p>
            <w:pPr>
              <w:pStyle w:val="178"/>
            </w:pPr>
          </w:p>
        </w:tc>
        <w:tc>
          <w:tcPr>
            <w:tcW w:w="476" w:type="dxa"/>
            <w:tcBorders>
              <w:bottom w:val="single" w:color="auto" w:sz="8" w:space="0"/>
            </w:tcBorders>
            <w:shd w:val="clear" w:color="auto" w:fill="auto"/>
            <w:vAlign w:val="center"/>
          </w:tcPr>
          <w:p>
            <w:pPr>
              <w:pStyle w:val="178"/>
            </w:pPr>
          </w:p>
        </w:tc>
        <w:tc>
          <w:tcPr>
            <w:tcW w:w="476" w:type="dxa"/>
            <w:tcBorders>
              <w:bottom w:val="single" w:color="auto" w:sz="8" w:space="0"/>
            </w:tcBorders>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19"/>
            <w:tcBorders>
              <w:top w:val="single" w:color="auto" w:sz="8" w:space="0"/>
              <w:bottom w:val="single" w:color="auto" w:sz="8" w:space="0"/>
            </w:tcBorders>
            <w:shd w:val="clear" w:color="auto" w:fill="auto"/>
            <w:vAlign w:val="center"/>
          </w:tcPr>
          <w:p>
            <w:pPr>
              <w:pStyle w:val="179"/>
              <w:ind w:left="0" w:firstLine="0"/>
            </w:pPr>
            <w:r>
              <w:rPr>
                <w:rFonts w:hint="eastAsia"/>
              </w:rPr>
              <w:t>省内车驾驶员从业资格证号可以不填，省外车需要填写。</w:t>
            </w:r>
          </w:p>
        </w:tc>
      </w:tr>
    </w:tbl>
    <w:p>
      <w:pPr>
        <w:pStyle w:val="56"/>
        <w:ind w:firstLine="420"/>
      </w:pPr>
    </w:p>
    <w:p>
      <w:pPr>
        <w:pStyle w:val="56"/>
        <w:ind w:firstLine="420"/>
      </w:pPr>
    </w:p>
    <w:p>
      <w:pPr>
        <w:pStyle w:val="56"/>
        <w:ind w:firstLine="420"/>
      </w:pPr>
    </w:p>
    <w:p>
      <w:pPr>
        <w:pStyle w:val="56"/>
        <w:ind w:firstLine="420"/>
        <w:sectPr>
          <w:headerReference r:id="rId55" w:type="default"/>
          <w:footerReference r:id="rId57" w:type="default"/>
          <w:headerReference r:id="rId56" w:type="even"/>
          <w:footerReference r:id="rId58"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305" w:name="_Toc134195242"/>
      <w:bookmarkStart w:id="306" w:name="_Toc134175485"/>
      <w:bookmarkStart w:id="307" w:name="_Toc134175285"/>
      <w:bookmarkStart w:id="308" w:name="_Toc134194765"/>
      <w:bookmarkStart w:id="309" w:name="_Toc134175166"/>
      <w:bookmarkStart w:id="310" w:name="_Toc134112904"/>
      <w:bookmarkStart w:id="311" w:name="_Toc134112285"/>
      <w:bookmarkStart w:id="312" w:name="_Toc134175672"/>
      <w:bookmarkStart w:id="313" w:name="_Toc134186382"/>
      <w:bookmarkStart w:id="314" w:name="_Toc135404400"/>
      <w:bookmarkStart w:id="315" w:name="_Toc134174294"/>
    </w:p>
    <w:p>
      <w:pPr>
        <w:pStyle w:val="76"/>
        <w:spacing w:after="156"/>
      </w:pPr>
      <w:r>
        <w:rPr>
          <w:rFonts w:hint="eastAsia"/>
        </w:rPr>
        <w:t>（资料性）</w:t>
      </w:r>
    </w:p>
    <w:p>
      <w:pPr>
        <w:pStyle w:val="76"/>
        <w:spacing w:after="156"/>
      </w:pPr>
      <w:r>
        <w:rPr>
          <w:rFonts w:hint="eastAsia"/>
        </w:rPr>
        <w:t>超限超载车辆处置台账</w:t>
      </w:r>
      <w:bookmarkEnd w:id="305"/>
      <w:bookmarkEnd w:id="306"/>
      <w:bookmarkEnd w:id="307"/>
      <w:bookmarkEnd w:id="308"/>
      <w:bookmarkEnd w:id="309"/>
      <w:bookmarkEnd w:id="310"/>
      <w:bookmarkEnd w:id="311"/>
      <w:bookmarkEnd w:id="312"/>
      <w:bookmarkEnd w:id="313"/>
      <w:bookmarkEnd w:id="314"/>
      <w:bookmarkEnd w:id="315"/>
    </w:p>
    <w:p>
      <w:pPr>
        <w:pStyle w:val="56"/>
        <w:ind w:firstLine="420"/>
      </w:pPr>
      <w:r>
        <w:rPr>
          <w:rFonts w:hint="eastAsia"/>
        </w:rPr>
        <w:t>超限超载车辆处置台账见表K</w:t>
      </w:r>
      <w:r>
        <w:t>.1</w:t>
      </w:r>
      <w:r>
        <w:rPr>
          <w:rFonts w:hint="eastAsia"/>
        </w:rPr>
        <w:t>。</w:t>
      </w:r>
    </w:p>
    <w:p>
      <w:pPr>
        <w:pStyle w:val="77"/>
        <w:spacing w:before="156" w:after="156"/>
      </w:pPr>
      <w:r>
        <w:rPr>
          <w:rFonts w:hint="eastAsia"/>
        </w:rPr>
        <w:t>超限超载车辆处置台账</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84"/>
        <w:gridCol w:w="584"/>
        <w:gridCol w:w="584"/>
        <w:gridCol w:w="584"/>
        <w:gridCol w:w="584"/>
        <w:gridCol w:w="584"/>
        <w:gridCol w:w="583"/>
        <w:gridCol w:w="583"/>
        <w:gridCol w:w="583"/>
        <w:gridCol w:w="583"/>
        <w:gridCol w:w="583"/>
        <w:gridCol w:w="583"/>
        <w:gridCol w:w="583"/>
        <w:gridCol w:w="583"/>
        <w:gridCol w:w="583"/>
        <w:gridCol w:w="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70" w:type="dxa"/>
            <w:gridSpan w:val="8"/>
            <w:tcBorders>
              <w:top w:val="single" w:color="auto" w:sz="8" w:space="0"/>
              <w:bottom w:val="single" w:color="auto" w:sz="8" w:space="0"/>
            </w:tcBorders>
            <w:shd w:val="clear" w:color="auto" w:fill="auto"/>
            <w:vAlign w:val="center"/>
          </w:tcPr>
          <w:p>
            <w:pPr>
              <w:pStyle w:val="178"/>
              <w:jc w:val="both"/>
              <w:rPr>
                <w:szCs w:val="18"/>
              </w:rPr>
            </w:pPr>
            <w:r>
              <w:rPr>
                <w:rFonts w:hint="eastAsia"/>
                <w:szCs w:val="18"/>
              </w:rPr>
              <w:t>地区：</w:t>
            </w:r>
          </w:p>
        </w:tc>
        <w:tc>
          <w:tcPr>
            <w:tcW w:w="4664" w:type="dxa"/>
            <w:gridSpan w:val="8"/>
            <w:tcBorders>
              <w:top w:val="single" w:color="auto" w:sz="8" w:space="0"/>
              <w:bottom w:val="single" w:color="auto" w:sz="8" w:space="0"/>
            </w:tcBorders>
            <w:shd w:val="clear" w:color="auto" w:fill="auto"/>
            <w:vAlign w:val="center"/>
          </w:tcPr>
          <w:p>
            <w:pPr>
              <w:pStyle w:val="178"/>
              <w:jc w:val="both"/>
              <w:rPr>
                <w:szCs w:val="18"/>
              </w:rPr>
            </w:pPr>
            <w:r>
              <w:rPr>
                <w:rFonts w:hint="eastAsia"/>
                <w:szCs w:val="18"/>
              </w:rPr>
              <w:t>公司名称：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tcBorders>
              <w:top w:val="single" w:color="auto" w:sz="8" w:space="0"/>
            </w:tcBorders>
            <w:shd w:val="clear" w:color="auto" w:fill="auto"/>
            <w:vAlign w:val="center"/>
          </w:tcPr>
          <w:p>
            <w:pPr>
              <w:pStyle w:val="178"/>
              <w:rPr>
                <w:szCs w:val="18"/>
              </w:rPr>
            </w:pPr>
            <w:r>
              <w:rPr>
                <w:rFonts w:hint="eastAsia"/>
                <w:szCs w:val="18"/>
              </w:rPr>
              <w:t>日期</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车辆</w:t>
            </w:r>
          </w:p>
          <w:p>
            <w:pPr>
              <w:pStyle w:val="178"/>
              <w:rPr>
                <w:szCs w:val="18"/>
              </w:rPr>
            </w:pPr>
            <w:r>
              <w:rPr>
                <w:rFonts w:hint="eastAsia"/>
                <w:szCs w:val="18"/>
              </w:rPr>
              <w:t>号牌</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车辆</w:t>
            </w:r>
          </w:p>
          <w:p>
            <w:pPr>
              <w:pStyle w:val="178"/>
              <w:rPr>
                <w:szCs w:val="18"/>
              </w:rPr>
            </w:pPr>
            <w:r>
              <w:rPr>
                <w:rFonts w:hint="eastAsia"/>
                <w:szCs w:val="18"/>
              </w:rPr>
              <w:t>道路</w:t>
            </w:r>
          </w:p>
          <w:p>
            <w:pPr>
              <w:pStyle w:val="178"/>
              <w:rPr>
                <w:szCs w:val="18"/>
              </w:rPr>
            </w:pPr>
            <w:r>
              <w:rPr>
                <w:rFonts w:hint="eastAsia"/>
                <w:szCs w:val="18"/>
              </w:rPr>
              <w:t>运输</w:t>
            </w:r>
          </w:p>
          <w:p>
            <w:pPr>
              <w:pStyle w:val="178"/>
              <w:rPr>
                <w:szCs w:val="18"/>
              </w:rPr>
            </w:pPr>
            <w:r>
              <w:rPr>
                <w:rFonts w:hint="eastAsia"/>
                <w:szCs w:val="18"/>
              </w:rPr>
              <w:t>证号</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挂车</w:t>
            </w:r>
          </w:p>
          <w:p>
            <w:pPr>
              <w:pStyle w:val="178"/>
              <w:rPr>
                <w:szCs w:val="18"/>
              </w:rPr>
            </w:pPr>
            <w:r>
              <w:rPr>
                <w:rFonts w:hint="eastAsia"/>
                <w:szCs w:val="18"/>
              </w:rPr>
              <w:t>号牌</w:t>
            </w:r>
          </w:p>
        </w:tc>
        <w:tc>
          <w:tcPr>
            <w:tcW w:w="584"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挂车</w:t>
            </w:r>
          </w:p>
          <w:p>
            <w:pPr>
              <w:pStyle w:val="178"/>
              <w:rPr>
                <w:szCs w:val="18"/>
              </w:rPr>
            </w:pPr>
            <w:r>
              <w:rPr>
                <w:rFonts w:hint="eastAsia"/>
                <w:szCs w:val="18"/>
              </w:rPr>
              <w:t>道路</w:t>
            </w:r>
          </w:p>
          <w:p>
            <w:pPr>
              <w:pStyle w:val="178"/>
              <w:rPr>
                <w:szCs w:val="18"/>
              </w:rPr>
            </w:pPr>
            <w:r>
              <w:rPr>
                <w:rFonts w:hint="eastAsia"/>
                <w:szCs w:val="18"/>
              </w:rPr>
              <w:t>运输</w:t>
            </w:r>
          </w:p>
          <w:p>
            <w:pPr>
              <w:pStyle w:val="178"/>
              <w:rPr>
                <w:szCs w:val="18"/>
              </w:rPr>
            </w:pPr>
            <w:r>
              <w:rPr>
                <w:rFonts w:hint="eastAsia"/>
                <w:szCs w:val="18"/>
              </w:rPr>
              <w:t>证号</w:t>
            </w:r>
          </w:p>
        </w:tc>
        <w:tc>
          <w:tcPr>
            <w:tcW w:w="584" w:type="dxa"/>
            <w:tcBorders>
              <w:top w:val="single" w:color="auto" w:sz="8" w:space="0"/>
            </w:tcBorders>
            <w:shd w:val="clear" w:color="auto" w:fill="auto"/>
            <w:vAlign w:val="center"/>
          </w:tcPr>
          <w:p>
            <w:pPr>
              <w:pStyle w:val="178"/>
              <w:rPr>
                <w:szCs w:val="18"/>
              </w:rPr>
            </w:pPr>
            <w:r>
              <w:rPr>
                <w:rFonts w:hint="eastAsia"/>
                <w:szCs w:val="18"/>
              </w:rPr>
              <w:t>车型</w:t>
            </w:r>
          </w:p>
        </w:tc>
        <w:tc>
          <w:tcPr>
            <w:tcW w:w="583" w:type="dxa"/>
            <w:tcBorders>
              <w:top w:val="single" w:color="auto" w:sz="8" w:space="0"/>
            </w:tcBorders>
            <w:shd w:val="clear" w:color="auto" w:fill="auto"/>
            <w:vAlign w:val="center"/>
          </w:tcPr>
          <w:p>
            <w:pPr>
              <w:pStyle w:val="178"/>
              <w:rPr>
                <w:szCs w:val="18"/>
              </w:rPr>
            </w:pPr>
            <w:r>
              <w:rPr>
                <w:rFonts w:hint="eastAsia"/>
                <w:szCs w:val="18"/>
              </w:rPr>
              <w:t>轴数</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驾驶</w:t>
            </w:r>
          </w:p>
          <w:p>
            <w:pPr>
              <w:spacing w:line="240" w:lineRule="auto"/>
              <w:jc w:val="center"/>
              <w:rPr>
                <w:sz w:val="18"/>
                <w:szCs w:val="18"/>
              </w:rPr>
            </w:pPr>
            <w:r>
              <w:rPr>
                <w:rFonts w:hint="eastAsia"/>
                <w:sz w:val="18"/>
                <w:szCs w:val="18"/>
              </w:rPr>
              <w:t>员姓</w:t>
            </w:r>
          </w:p>
          <w:p>
            <w:pPr>
              <w:spacing w:line="240" w:lineRule="auto"/>
              <w:jc w:val="center"/>
              <w:rPr>
                <w:sz w:val="18"/>
                <w:szCs w:val="18"/>
              </w:rPr>
            </w:pPr>
            <w:r>
              <w:rPr>
                <w:rFonts w:hint="eastAsia"/>
                <w:sz w:val="18"/>
                <w:szCs w:val="18"/>
              </w:rPr>
              <w:t>名</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驾驶</w:t>
            </w:r>
          </w:p>
          <w:p>
            <w:pPr>
              <w:spacing w:line="240" w:lineRule="auto"/>
              <w:jc w:val="center"/>
              <w:rPr>
                <w:sz w:val="18"/>
                <w:szCs w:val="18"/>
              </w:rPr>
            </w:pPr>
            <w:r>
              <w:rPr>
                <w:rFonts w:hint="eastAsia"/>
                <w:sz w:val="18"/>
                <w:szCs w:val="18"/>
              </w:rPr>
              <w:t>员从</w:t>
            </w:r>
          </w:p>
          <w:p>
            <w:pPr>
              <w:spacing w:line="240" w:lineRule="auto"/>
              <w:jc w:val="center"/>
              <w:rPr>
                <w:sz w:val="18"/>
                <w:szCs w:val="18"/>
              </w:rPr>
            </w:pPr>
            <w:r>
              <w:rPr>
                <w:rFonts w:hint="eastAsia"/>
                <w:sz w:val="18"/>
                <w:szCs w:val="18"/>
              </w:rPr>
              <w:t>业资</w:t>
            </w:r>
          </w:p>
          <w:p>
            <w:pPr>
              <w:spacing w:line="240" w:lineRule="auto"/>
              <w:jc w:val="center"/>
              <w:rPr>
                <w:sz w:val="18"/>
                <w:szCs w:val="18"/>
              </w:rPr>
            </w:pPr>
            <w:r>
              <w:rPr>
                <w:rFonts w:hint="eastAsia"/>
                <w:sz w:val="18"/>
                <w:szCs w:val="18"/>
              </w:rPr>
              <w:t>格号</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货物</w:t>
            </w:r>
          </w:p>
          <w:p>
            <w:pPr>
              <w:pStyle w:val="178"/>
              <w:rPr>
                <w:szCs w:val="18"/>
              </w:rPr>
            </w:pPr>
            <w:r>
              <w:rPr>
                <w:rFonts w:hint="eastAsia"/>
                <w:szCs w:val="18"/>
              </w:rPr>
              <w:t>名称</w:t>
            </w:r>
          </w:p>
        </w:tc>
        <w:tc>
          <w:tcPr>
            <w:tcW w:w="583" w:type="dxa"/>
            <w:tcBorders>
              <w:top w:val="single" w:color="auto" w:sz="8" w:space="0"/>
            </w:tcBorders>
            <w:shd w:val="clear" w:color="auto" w:fill="auto"/>
            <w:vAlign w:val="center"/>
          </w:tcPr>
          <w:p>
            <w:pPr>
              <w:pStyle w:val="178"/>
              <w:rPr>
                <w:szCs w:val="18"/>
              </w:rPr>
            </w:pPr>
            <w:r>
              <w:rPr>
                <w:rFonts w:hint="eastAsia"/>
                <w:szCs w:val="18"/>
              </w:rPr>
              <w:t>总重</w:t>
            </w:r>
          </w:p>
          <w:p>
            <w:pPr>
              <w:pStyle w:val="178"/>
              <w:rPr>
                <w:szCs w:val="18"/>
              </w:rPr>
            </w:pPr>
            <w:r>
              <w:rPr>
                <w:rFonts w:hint="eastAsia"/>
                <w:szCs w:val="18"/>
              </w:rPr>
              <w:t>量（吨）</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超限</w:t>
            </w:r>
          </w:p>
          <w:p>
            <w:pPr>
              <w:spacing w:line="240" w:lineRule="auto"/>
              <w:jc w:val="center"/>
              <w:rPr>
                <w:sz w:val="18"/>
                <w:szCs w:val="18"/>
              </w:rPr>
            </w:pPr>
            <w:r>
              <w:rPr>
                <w:rFonts w:hint="eastAsia"/>
                <w:sz w:val="18"/>
                <w:szCs w:val="18"/>
              </w:rPr>
              <w:t>超载</w:t>
            </w:r>
          </w:p>
          <w:p>
            <w:pPr>
              <w:pStyle w:val="178"/>
              <w:rPr>
                <w:szCs w:val="18"/>
              </w:rPr>
            </w:pPr>
            <w:r>
              <w:rPr>
                <w:rFonts w:hint="eastAsia"/>
                <w:szCs w:val="18"/>
              </w:rPr>
              <w:t>（米、吨）</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卸载</w:t>
            </w:r>
          </w:p>
          <w:p>
            <w:pPr>
              <w:pStyle w:val="178"/>
              <w:rPr>
                <w:szCs w:val="18"/>
              </w:rPr>
            </w:pPr>
            <w:r>
              <w:rPr>
                <w:rFonts w:hint="eastAsia"/>
                <w:szCs w:val="18"/>
              </w:rPr>
              <w:t>吨位</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处置</w:t>
            </w:r>
          </w:p>
          <w:p>
            <w:pPr>
              <w:pStyle w:val="178"/>
              <w:rPr>
                <w:szCs w:val="18"/>
              </w:rPr>
            </w:pPr>
            <w:r>
              <w:rPr>
                <w:rFonts w:hint="eastAsia"/>
                <w:szCs w:val="18"/>
              </w:rPr>
              <w:t>时间</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处置</w:t>
            </w:r>
          </w:p>
          <w:p>
            <w:pPr>
              <w:pStyle w:val="178"/>
              <w:rPr>
                <w:szCs w:val="18"/>
              </w:rPr>
            </w:pPr>
            <w:r>
              <w:rPr>
                <w:rFonts w:hint="eastAsia"/>
                <w:szCs w:val="18"/>
              </w:rPr>
              <w:t>事由</w:t>
            </w:r>
          </w:p>
        </w:tc>
        <w:tc>
          <w:tcPr>
            <w:tcW w:w="583" w:type="dxa"/>
            <w:tcBorders>
              <w:top w:val="single" w:color="auto" w:sz="8" w:space="0"/>
            </w:tcBorders>
            <w:shd w:val="clear" w:color="auto" w:fill="auto"/>
            <w:vAlign w:val="center"/>
          </w:tcPr>
          <w:p>
            <w:pPr>
              <w:spacing w:line="240" w:lineRule="auto"/>
              <w:jc w:val="center"/>
              <w:rPr>
                <w:sz w:val="18"/>
                <w:szCs w:val="18"/>
              </w:rPr>
            </w:pPr>
            <w:r>
              <w:rPr>
                <w:rFonts w:hint="eastAsia"/>
                <w:sz w:val="18"/>
                <w:szCs w:val="18"/>
              </w:rPr>
              <w:t>放行</w:t>
            </w:r>
          </w:p>
          <w:p>
            <w:pPr>
              <w:pStyle w:val="178"/>
              <w:rPr>
                <w:szCs w:val="18"/>
              </w:rPr>
            </w:pPr>
            <w:r>
              <w:rPr>
                <w:rFonts w:hint="eastAsia"/>
                <w:szCs w:val="18"/>
              </w:rPr>
              <w:t>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4"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c>
          <w:tcPr>
            <w:tcW w:w="583"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84" w:type="dxa"/>
            <w:tcBorders>
              <w:bottom w:val="single" w:color="auto" w:sz="8" w:space="0"/>
            </w:tcBorders>
            <w:shd w:val="clear" w:color="auto" w:fill="auto"/>
            <w:vAlign w:val="center"/>
          </w:tcPr>
          <w:p>
            <w:pPr>
              <w:pStyle w:val="178"/>
            </w:pPr>
          </w:p>
        </w:tc>
        <w:tc>
          <w:tcPr>
            <w:tcW w:w="584" w:type="dxa"/>
            <w:tcBorders>
              <w:bottom w:val="single" w:color="auto" w:sz="8" w:space="0"/>
            </w:tcBorders>
            <w:shd w:val="clear" w:color="auto" w:fill="auto"/>
            <w:vAlign w:val="center"/>
          </w:tcPr>
          <w:p>
            <w:pPr>
              <w:pStyle w:val="178"/>
            </w:pPr>
          </w:p>
        </w:tc>
        <w:tc>
          <w:tcPr>
            <w:tcW w:w="584" w:type="dxa"/>
            <w:tcBorders>
              <w:bottom w:val="single" w:color="auto" w:sz="8" w:space="0"/>
            </w:tcBorders>
            <w:shd w:val="clear" w:color="auto" w:fill="auto"/>
            <w:vAlign w:val="center"/>
          </w:tcPr>
          <w:p>
            <w:pPr>
              <w:pStyle w:val="178"/>
            </w:pPr>
          </w:p>
        </w:tc>
        <w:tc>
          <w:tcPr>
            <w:tcW w:w="584" w:type="dxa"/>
            <w:tcBorders>
              <w:bottom w:val="single" w:color="auto" w:sz="8" w:space="0"/>
            </w:tcBorders>
            <w:shd w:val="clear" w:color="auto" w:fill="auto"/>
            <w:vAlign w:val="center"/>
          </w:tcPr>
          <w:p>
            <w:pPr>
              <w:pStyle w:val="178"/>
            </w:pPr>
          </w:p>
        </w:tc>
        <w:tc>
          <w:tcPr>
            <w:tcW w:w="584" w:type="dxa"/>
            <w:tcBorders>
              <w:bottom w:val="single" w:color="auto" w:sz="8" w:space="0"/>
            </w:tcBorders>
            <w:shd w:val="clear" w:color="auto" w:fill="auto"/>
            <w:vAlign w:val="center"/>
          </w:tcPr>
          <w:p>
            <w:pPr>
              <w:pStyle w:val="178"/>
            </w:pPr>
          </w:p>
        </w:tc>
        <w:tc>
          <w:tcPr>
            <w:tcW w:w="584"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c>
          <w:tcPr>
            <w:tcW w:w="583" w:type="dxa"/>
            <w:tcBorders>
              <w:bottom w:val="single" w:color="auto" w:sz="8" w:space="0"/>
            </w:tcBorders>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16"/>
            <w:tcBorders>
              <w:top w:val="single" w:color="auto" w:sz="8" w:space="0"/>
              <w:bottom w:val="single" w:color="auto" w:sz="8" w:space="0"/>
            </w:tcBorders>
            <w:shd w:val="clear" w:color="auto" w:fill="auto"/>
            <w:vAlign w:val="center"/>
          </w:tcPr>
          <w:p>
            <w:pPr>
              <w:pStyle w:val="179"/>
              <w:ind w:left="0" w:firstLine="0"/>
            </w:pPr>
            <w:r>
              <w:rPr>
                <w:rFonts w:hint="eastAsia"/>
              </w:rPr>
              <w:t>省内车辆道路运输证号、挂车道路运输证号、驾驶员从业资格证号可以不填，省外车需要填写。</w:t>
            </w:r>
          </w:p>
        </w:tc>
      </w:tr>
    </w:tbl>
    <w:p>
      <w:pPr>
        <w:pStyle w:val="56"/>
        <w:ind w:firstLine="420"/>
      </w:pPr>
    </w:p>
    <w:p>
      <w:pPr>
        <w:pStyle w:val="56"/>
        <w:ind w:firstLine="420"/>
      </w:pPr>
    </w:p>
    <w:p>
      <w:pPr>
        <w:pStyle w:val="56"/>
        <w:ind w:firstLine="420"/>
      </w:pPr>
    </w:p>
    <w:p>
      <w:pPr>
        <w:pStyle w:val="56"/>
        <w:ind w:firstLine="420"/>
        <w:sectPr>
          <w:headerReference r:id="rId59" w:type="default"/>
          <w:footerReference r:id="rId61" w:type="default"/>
          <w:headerReference r:id="rId60" w:type="even"/>
          <w:footerReference r:id="rId62"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316" w:name="_Toc134175486"/>
      <w:bookmarkStart w:id="317" w:name="_Toc134195243"/>
      <w:bookmarkStart w:id="318" w:name="_Toc134175286"/>
      <w:bookmarkStart w:id="319" w:name="_Toc134194766"/>
      <w:bookmarkStart w:id="320" w:name="_Toc134175167"/>
      <w:bookmarkStart w:id="321" w:name="_Toc134112905"/>
      <w:bookmarkStart w:id="322" w:name="_Toc134112286"/>
      <w:bookmarkStart w:id="323" w:name="_Toc134175673"/>
      <w:bookmarkStart w:id="324" w:name="_Toc134186383"/>
      <w:bookmarkStart w:id="325" w:name="_Toc135404401"/>
      <w:bookmarkStart w:id="326" w:name="_Toc134174295"/>
    </w:p>
    <w:p>
      <w:pPr>
        <w:pStyle w:val="76"/>
        <w:spacing w:after="156"/>
      </w:pPr>
      <w:r>
        <w:rPr>
          <w:rFonts w:hint="eastAsia"/>
        </w:rPr>
        <w:t>（资料性）</w:t>
      </w:r>
    </w:p>
    <w:p>
      <w:pPr>
        <w:pStyle w:val="76"/>
        <w:spacing w:after="156"/>
      </w:pPr>
      <w:r>
        <w:rPr>
          <w:rFonts w:hint="eastAsia"/>
        </w:rPr>
        <w:t>称重监控设施定期计量检定表</w:t>
      </w:r>
      <w:bookmarkEnd w:id="316"/>
      <w:bookmarkEnd w:id="317"/>
      <w:bookmarkEnd w:id="318"/>
      <w:bookmarkEnd w:id="319"/>
      <w:bookmarkEnd w:id="320"/>
      <w:bookmarkEnd w:id="321"/>
      <w:bookmarkEnd w:id="322"/>
      <w:bookmarkEnd w:id="323"/>
      <w:bookmarkEnd w:id="324"/>
      <w:bookmarkEnd w:id="325"/>
      <w:bookmarkEnd w:id="326"/>
    </w:p>
    <w:p>
      <w:pPr>
        <w:pStyle w:val="56"/>
        <w:ind w:firstLine="420"/>
      </w:pPr>
      <w:r>
        <w:rPr>
          <w:rFonts w:hint="eastAsia"/>
        </w:rPr>
        <w:t>称重监控设施定期计量检定表见表L</w:t>
      </w:r>
      <w:r>
        <w:t>.1</w:t>
      </w:r>
      <w:r>
        <w:rPr>
          <w:rFonts w:hint="eastAsia"/>
        </w:rPr>
        <w:t>。</w:t>
      </w:r>
    </w:p>
    <w:p>
      <w:pPr>
        <w:pStyle w:val="77"/>
        <w:spacing w:before="156" w:after="156"/>
      </w:pPr>
      <w:r>
        <w:rPr>
          <w:rFonts w:hint="eastAsia"/>
        </w:rPr>
        <w:t>称重监控设施定期计量检定表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41"/>
        <w:gridCol w:w="2892"/>
        <w:gridCol w:w="1867"/>
        <w:gridCol w:w="1867"/>
        <w:gridCol w:w="1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733" w:type="dxa"/>
            <w:gridSpan w:val="2"/>
            <w:tcBorders>
              <w:top w:val="single" w:color="auto" w:sz="8" w:space="0"/>
              <w:bottom w:val="single" w:color="auto" w:sz="8" w:space="0"/>
            </w:tcBorders>
            <w:shd w:val="clear" w:color="auto" w:fill="auto"/>
            <w:vAlign w:val="center"/>
          </w:tcPr>
          <w:p>
            <w:pPr>
              <w:pStyle w:val="178"/>
              <w:jc w:val="both"/>
            </w:pPr>
            <w:r>
              <w:rPr>
                <w:rFonts w:hint="eastAsia"/>
              </w:rPr>
              <w:t>地区：</w:t>
            </w:r>
          </w:p>
        </w:tc>
        <w:tc>
          <w:tcPr>
            <w:tcW w:w="5601" w:type="dxa"/>
            <w:gridSpan w:val="3"/>
            <w:tcBorders>
              <w:top w:val="single" w:color="auto" w:sz="8" w:space="0"/>
              <w:bottom w:val="single" w:color="auto" w:sz="8" w:space="0"/>
            </w:tcBorders>
            <w:shd w:val="clear" w:color="auto" w:fill="auto"/>
            <w:vAlign w:val="center"/>
          </w:tcPr>
          <w:p>
            <w:pPr>
              <w:pStyle w:val="178"/>
              <w:jc w:val="both"/>
            </w:pPr>
            <w:r>
              <w:rPr>
                <w:rFonts w:hint="eastAsia"/>
              </w:rPr>
              <w:t>公司名称：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tcBorders>
              <w:top w:val="single" w:color="auto" w:sz="8" w:space="0"/>
            </w:tcBorders>
            <w:shd w:val="clear" w:color="auto" w:fill="auto"/>
            <w:vAlign w:val="center"/>
          </w:tcPr>
          <w:p>
            <w:pPr>
              <w:pStyle w:val="178"/>
            </w:pPr>
            <w:r>
              <w:rPr>
                <w:rFonts w:hint="eastAsia"/>
              </w:rPr>
              <w:t>序号</w:t>
            </w:r>
          </w:p>
        </w:tc>
        <w:tc>
          <w:tcPr>
            <w:tcW w:w="2892" w:type="dxa"/>
            <w:tcBorders>
              <w:top w:val="single" w:color="auto" w:sz="8" w:space="0"/>
            </w:tcBorders>
            <w:shd w:val="clear" w:color="auto" w:fill="auto"/>
            <w:vAlign w:val="center"/>
          </w:tcPr>
          <w:p>
            <w:pPr>
              <w:pStyle w:val="178"/>
            </w:pPr>
            <w:r>
              <w:rPr>
                <w:rFonts w:hint="eastAsia"/>
              </w:rPr>
              <w:t>称重监控设施出厂编号</w:t>
            </w:r>
          </w:p>
        </w:tc>
        <w:tc>
          <w:tcPr>
            <w:tcW w:w="1867" w:type="dxa"/>
            <w:tcBorders>
              <w:top w:val="single" w:color="auto" w:sz="8" w:space="0"/>
            </w:tcBorders>
            <w:shd w:val="clear" w:color="auto" w:fill="auto"/>
            <w:vAlign w:val="center"/>
          </w:tcPr>
          <w:p>
            <w:pPr>
              <w:pStyle w:val="178"/>
            </w:pPr>
            <w:r>
              <w:rPr>
                <w:rFonts w:hint="eastAsia"/>
              </w:rPr>
              <w:t>检定日期</w:t>
            </w:r>
          </w:p>
        </w:tc>
        <w:tc>
          <w:tcPr>
            <w:tcW w:w="1867" w:type="dxa"/>
            <w:tcBorders>
              <w:top w:val="single" w:color="auto" w:sz="8" w:space="0"/>
            </w:tcBorders>
            <w:shd w:val="clear" w:color="auto" w:fill="auto"/>
            <w:vAlign w:val="center"/>
          </w:tcPr>
          <w:p>
            <w:pPr>
              <w:pStyle w:val="178"/>
            </w:pPr>
            <w:r>
              <w:rPr>
                <w:rFonts w:hint="eastAsia"/>
              </w:rPr>
              <w:t>检定有效期</w:t>
            </w:r>
          </w:p>
        </w:tc>
        <w:tc>
          <w:tcPr>
            <w:tcW w:w="1867" w:type="dxa"/>
            <w:tcBorders>
              <w:top w:val="single" w:color="auto" w:sz="8" w:space="0"/>
            </w:tcBorders>
            <w:shd w:val="clear" w:color="auto" w:fill="auto"/>
            <w:vAlign w:val="center"/>
          </w:tcPr>
          <w:p>
            <w:pPr>
              <w:pStyle w:val="178"/>
            </w:pPr>
            <w:r>
              <w:rPr>
                <w:rFonts w:hint="eastAsia"/>
              </w:rPr>
              <w:t>检定结论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shd w:val="clear" w:color="auto" w:fill="auto"/>
            <w:vAlign w:val="center"/>
          </w:tcPr>
          <w:p>
            <w:pPr>
              <w:pStyle w:val="178"/>
            </w:pPr>
          </w:p>
        </w:tc>
        <w:tc>
          <w:tcPr>
            <w:tcW w:w="2892"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c>
          <w:tcPr>
            <w:tcW w:w="1867"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tcBorders>
              <w:bottom w:val="single" w:color="auto" w:sz="8" w:space="0"/>
            </w:tcBorders>
            <w:shd w:val="clear" w:color="auto" w:fill="auto"/>
            <w:vAlign w:val="center"/>
          </w:tcPr>
          <w:p>
            <w:pPr>
              <w:pStyle w:val="178"/>
            </w:pPr>
          </w:p>
        </w:tc>
        <w:tc>
          <w:tcPr>
            <w:tcW w:w="2892" w:type="dxa"/>
            <w:tcBorders>
              <w:bottom w:val="single" w:color="auto" w:sz="8" w:space="0"/>
            </w:tcBorders>
            <w:shd w:val="clear" w:color="auto" w:fill="auto"/>
            <w:vAlign w:val="center"/>
          </w:tcPr>
          <w:p>
            <w:pPr>
              <w:pStyle w:val="178"/>
            </w:pPr>
          </w:p>
        </w:tc>
        <w:tc>
          <w:tcPr>
            <w:tcW w:w="1867" w:type="dxa"/>
            <w:tcBorders>
              <w:bottom w:val="single" w:color="auto" w:sz="8" w:space="0"/>
            </w:tcBorders>
            <w:shd w:val="clear" w:color="auto" w:fill="auto"/>
            <w:vAlign w:val="center"/>
          </w:tcPr>
          <w:p>
            <w:pPr>
              <w:pStyle w:val="178"/>
            </w:pPr>
          </w:p>
        </w:tc>
        <w:tc>
          <w:tcPr>
            <w:tcW w:w="1867" w:type="dxa"/>
            <w:tcBorders>
              <w:bottom w:val="single" w:color="auto" w:sz="8" w:space="0"/>
            </w:tcBorders>
            <w:shd w:val="clear" w:color="auto" w:fill="auto"/>
            <w:vAlign w:val="center"/>
          </w:tcPr>
          <w:p>
            <w:pPr>
              <w:pStyle w:val="178"/>
            </w:pPr>
          </w:p>
        </w:tc>
        <w:tc>
          <w:tcPr>
            <w:tcW w:w="1867" w:type="dxa"/>
            <w:tcBorders>
              <w:bottom w:val="single" w:color="auto" w:sz="8" w:space="0"/>
            </w:tcBorders>
            <w:shd w:val="clear" w:color="auto" w:fill="auto"/>
            <w:vAlign w:val="center"/>
          </w:tcPr>
          <w:p>
            <w:pPr>
              <w:pStyle w:val="178"/>
            </w:pPr>
          </w:p>
        </w:tc>
      </w:tr>
    </w:tbl>
    <w:p>
      <w:pPr>
        <w:pStyle w:val="56"/>
        <w:ind w:firstLine="420"/>
      </w:pPr>
    </w:p>
    <w:p>
      <w:pPr>
        <w:pStyle w:val="56"/>
        <w:ind w:firstLine="420"/>
      </w:pPr>
    </w:p>
    <w:p>
      <w:pPr>
        <w:pStyle w:val="56"/>
        <w:ind w:firstLine="420"/>
      </w:pPr>
    </w:p>
    <w:p>
      <w:pPr>
        <w:pStyle w:val="56"/>
        <w:ind w:firstLine="420"/>
        <w:sectPr>
          <w:headerReference r:id="rId63" w:type="default"/>
          <w:footerReference r:id="rId65" w:type="default"/>
          <w:headerReference r:id="rId64" w:type="even"/>
          <w:footerReference r:id="rId66" w:type="even"/>
          <w:pgSz w:w="11906" w:h="16838"/>
          <w:pgMar w:top="1928" w:right="1134" w:bottom="1134" w:left="1134" w:header="1418" w:footer="1134" w:gutter="284"/>
          <w:cols w:space="425" w:num="1"/>
          <w:formProt w:val="0"/>
          <w:docGrid w:type="lines" w:linePitch="312" w:charSpace="0"/>
        </w:sectPr>
      </w:pPr>
    </w:p>
    <w:p>
      <w:pPr>
        <w:pStyle w:val="198"/>
      </w:pPr>
    </w:p>
    <w:p>
      <w:pPr>
        <w:pStyle w:val="199"/>
      </w:pPr>
    </w:p>
    <w:p>
      <w:pPr>
        <w:pStyle w:val="76"/>
        <w:spacing w:after="156"/>
      </w:pPr>
      <w:bookmarkStart w:id="327" w:name="_Toc134175287"/>
      <w:bookmarkStart w:id="328" w:name="_Toc134175487"/>
      <w:bookmarkStart w:id="329" w:name="_Toc134195244"/>
      <w:bookmarkStart w:id="330" w:name="_Toc134194767"/>
      <w:bookmarkStart w:id="331" w:name="_Toc134175168"/>
      <w:bookmarkStart w:id="332" w:name="_Toc134112906"/>
      <w:bookmarkStart w:id="333" w:name="_Toc134112287"/>
      <w:bookmarkStart w:id="334" w:name="_Toc134175674"/>
      <w:bookmarkStart w:id="335" w:name="_Toc134186384"/>
      <w:bookmarkStart w:id="336" w:name="_Toc135404402"/>
      <w:bookmarkStart w:id="337" w:name="_Toc134174296"/>
    </w:p>
    <w:p>
      <w:pPr>
        <w:pStyle w:val="76"/>
        <w:spacing w:after="156"/>
      </w:pPr>
      <w:r>
        <w:rPr>
          <w:rFonts w:hint="eastAsia"/>
        </w:rPr>
        <w:t>（资料性）</w:t>
      </w:r>
    </w:p>
    <w:p>
      <w:pPr>
        <w:pStyle w:val="76"/>
        <w:spacing w:after="156"/>
      </w:pPr>
      <w:r>
        <w:rPr>
          <w:rFonts w:hint="eastAsia"/>
        </w:rPr>
        <w:t>称重监控设施运行异常报备及维修记录表</w:t>
      </w:r>
      <w:bookmarkEnd w:id="327"/>
      <w:bookmarkEnd w:id="328"/>
      <w:bookmarkEnd w:id="329"/>
      <w:bookmarkEnd w:id="330"/>
      <w:bookmarkEnd w:id="331"/>
      <w:bookmarkEnd w:id="332"/>
      <w:bookmarkEnd w:id="333"/>
      <w:bookmarkEnd w:id="334"/>
      <w:bookmarkEnd w:id="335"/>
      <w:bookmarkEnd w:id="336"/>
      <w:bookmarkEnd w:id="337"/>
    </w:p>
    <w:p>
      <w:pPr>
        <w:pStyle w:val="56"/>
        <w:ind w:firstLine="420"/>
      </w:pPr>
      <w:r>
        <w:rPr>
          <w:rFonts w:hint="eastAsia"/>
        </w:rPr>
        <w:t>称重监控设施运行异常报备及维修记录表见表M</w:t>
      </w:r>
      <w:r>
        <w:t>.1</w:t>
      </w:r>
      <w:r>
        <w:rPr>
          <w:rFonts w:hint="eastAsia"/>
        </w:rPr>
        <w:t>。</w:t>
      </w:r>
    </w:p>
    <w:p>
      <w:pPr>
        <w:pStyle w:val="77"/>
        <w:spacing w:before="156" w:after="156"/>
      </w:pPr>
      <w:r>
        <w:rPr>
          <w:rFonts w:hint="eastAsia"/>
        </w:rPr>
        <w:t>称重监控设施运行异常报备及维修记录表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1966"/>
        <w:gridCol w:w="1333"/>
        <w:gridCol w:w="1334"/>
        <w:gridCol w:w="1334"/>
        <w:gridCol w:w="1334"/>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998" w:type="dxa"/>
            <w:gridSpan w:val="3"/>
            <w:tcBorders>
              <w:top w:val="single" w:color="auto" w:sz="8" w:space="0"/>
              <w:bottom w:val="single" w:color="auto" w:sz="8" w:space="0"/>
            </w:tcBorders>
            <w:shd w:val="clear" w:color="auto" w:fill="auto"/>
            <w:vAlign w:val="center"/>
          </w:tcPr>
          <w:p>
            <w:pPr>
              <w:pStyle w:val="178"/>
              <w:jc w:val="both"/>
            </w:pPr>
            <w:r>
              <w:rPr>
                <w:rFonts w:hint="eastAsia"/>
              </w:rPr>
              <w:t>地区：</w:t>
            </w:r>
          </w:p>
        </w:tc>
        <w:tc>
          <w:tcPr>
            <w:tcW w:w="5336" w:type="dxa"/>
            <w:gridSpan w:val="4"/>
            <w:tcBorders>
              <w:top w:val="single" w:color="auto" w:sz="8" w:space="0"/>
              <w:bottom w:val="single" w:color="auto" w:sz="8" w:space="0"/>
            </w:tcBorders>
            <w:shd w:val="clear" w:color="auto" w:fill="auto"/>
            <w:vAlign w:val="center"/>
          </w:tcPr>
          <w:p>
            <w:pPr>
              <w:pStyle w:val="178"/>
              <w:jc w:val="both"/>
            </w:pPr>
            <w:r>
              <w:rPr>
                <w:rFonts w:hint="eastAsia"/>
              </w:rPr>
              <w:t>公司名称：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Borders>
              <w:top w:val="single" w:color="auto" w:sz="8" w:space="0"/>
            </w:tcBorders>
            <w:shd w:val="clear" w:color="auto" w:fill="auto"/>
            <w:vAlign w:val="center"/>
          </w:tcPr>
          <w:p>
            <w:pPr>
              <w:pStyle w:val="178"/>
            </w:pPr>
            <w:r>
              <w:rPr>
                <w:rFonts w:hint="eastAsia"/>
              </w:rPr>
              <w:t>序号</w:t>
            </w:r>
          </w:p>
        </w:tc>
        <w:tc>
          <w:tcPr>
            <w:tcW w:w="1966" w:type="dxa"/>
            <w:tcBorders>
              <w:top w:val="single" w:color="auto" w:sz="8" w:space="0"/>
            </w:tcBorders>
            <w:shd w:val="clear" w:color="auto" w:fill="auto"/>
            <w:vAlign w:val="center"/>
          </w:tcPr>
          <w:p>
            <w:pPr>
              <w:pStyle w:val="178"/>
            </w:pPr>
            <w:r>
              <w:rPr>
                <w:rFonts w:hint="eastAsia"/>
              </w:rPr>
              <w:t>称重监控设施出厂编号</w:t>
            </w:r>
          </w:p>
        </w:tc>
        <w:tc>
          <w:tcPr>
            <w:tcW w:w="1333" w:type="dxa"/>
            <w:tcBorders>
              <w:top w:val="single" w:color="auto" w:sz="8" w:space="0"/>
            </w:tcBorders>
            <w:shd w:val="clear" w:color="auto" w:fill="auto"/>
            <w:vAlign w:val="center"/>
          </w:tcPr>
          <w:p>
            <w:pPr>
              <w:pStyle w:val="178"/>
            </w:pPr>
            <w:r>
              <w:rPr>
                <w:rFonts w:hint="eastAsia"/>
              </w:rPr>
              <w:t>异常时间</w:t>
            </w:r>
          </w:p>
        </w:tc>
        <w:tc>
          <w:tcPr>
            <w:tcW w:w="1334" w:type="dxa"/>
            <w:tcBorders>
              <w:top w:val="single" w:color="auto" w:sz="8" w:space="0"/>
            </w:tcBorders>
            <w:shd w:val="clear" w:color="auto" w:fill="auto"/>
            <w:vAlign w:val="center"/>
          </w:tcPr>
          <w:p>
            <w:pPr>
              <w:pStyle w:val="178"/>
            </w:pPr>
            <w:r>
              <w:rPr>
                <w:rFonts w:hint="eastAsia"/>
              </w:rPr>
              <w:t>异常说明</w:t>
            </w:r>
          </w:p>
        </w:tc>
        <w:tc>
          <w:tcPr>
            <w:tcW w:w="1334" w:type="dxa"/>
            <w:tcBorders>
              <w:top w:val="single" w:color="auto" w:sz="8" w:space="0"/>
            </w:tcBorders>
            <w:shd w:val="clear" w:color="auto" w:fill="auto"/>
            <w:vAlign w:val="center"/>
          </w:tcPr>
          <w:p>
            <w:pPr>
              <w:pStyle w:val="178"/>
            </w:pPr>
            <w:r>
              <w:rPr>
                <w:rFonts w:hint="eastAsia"/>
              </w:rPr>
              <w:t>报备时间</w:t>
            </w:r>
          </w:p>
        </w:tc>
        <w:tc>
          <w:tcPr>
            <w:tcW w:w="1334" w:type="dxa"/>
            <w:tcBorders>
              <w:top w:val="single" w:color="auto" w:sz="8" w:space="0"/>
            </w:tcBorders>
            <w:shd w:val="clear" w:color="auto" w:fill="auto"/>
            <w:vAlign w:val="center"/>
          </w:tcPr>
          <w:p>
            <w:pPr>
              <w:pStyle w:val="178"/>
            </w:pPr>
            <w:r>
              <w:rPr>
                <w:rFonts w:hint="eastAsia"/>
              </w:rPr>
              <w:t>维修时间</w:t>
            </w:r>
          </w:p>
        </w:tc>
        <w:tc>
          <w:tcPr>
            <w:tcW w:w="1334" w:type="dxa"/>
            <w:tcBorders>
              <w:top w:val="single" w:color="auto" w:sz="8" w:space="0"/>
            </w:tcBorders>
            <w:shd w:val="clear" w:color="auto" w:fill="auto"/>
            <w:vAlign w:val="center"/>
          </w:tcPr>
          <w:p>
            <w:pPr>
              <w:pStyle w:val="178"/>
            </w:pPr>
            <w:r>
              <w:rPr>
                <w:rFonts w:hint="eastAsia"/>
              </w:rPr>
              <w:t>维修状态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78"/>
            </w:pPr>
          </w:p>
        </w:tc>
        <w:tc>
          <w:tcPr>
            <w:tcW w:w="1966" w:type="dxa"/>
            <w:shd w:val="clear" w:color="auto" w:fill="auto"/>
            <w:vAlign w:val="center"/>
          </w:tcPr>
          <w:p>
            <w:pPr>
              <w:pStyle w:val="178"/>
            </w:pPr>
          </w:p>
        </w:tc>
        <w:tc>
          <w:tcPr>
            <w:tcW w:w="1333"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c>
          <w:tcPr>
            <w:tcW w:w="1334"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Borders>
              <w:bottom w:val="single" w:color="auto" w:sz="8" w:space="0"/>
            </w:tcBorders>
            <w:shd w:val="clear" w:color="auto" w:fill="auto"/>
            <w:vAlign w:val="center"/>
          </w:tcPr>
          <w:p>
            <w:pPr>
              <w:pStyle w:val="178"/>
            </w:pPr>
          </w:p>
        </w:tc>
        <w:tc>
          <w:tcPr>
            <w:tcW w:w="1966" w:type="dxa"/>
            <w:tcBorders>
              <w:bottom w:val="single" w:color="auto" w:sz="8" w:space="0"/>
            </w:tcBorders>
            <w:shd w:val="clear" w:color="auto" w:fill="auto"/>
            <w:vAlign w:val="center"/>
          </w:tcPr>
          <w:p>
            <w:pPr>
              <w:pStyle w:val="178"/>
            </w:pPr>
          </w:p>
        </w:tc>
        <w:tc>
          <w:tcPr>
            <w:tcW w:w="1333" w:type="dxa"/>
            <w:tcBorders>
              <w:bottom w:val="single" w:color="auto" w:sz="8" w:space="0"/>
            </w:tcBorders>
            <w:shd w:val="clear" w:color="auto" w:fill="auto"/>
            <w:vAlign w:val="center"/>
          </w:tcPr>
          <w:p>
            <w:pPr>
              <w:pStyle w:val="178"/>
            </w:pPr>
          </w:p>
        </w:tc>
        <w:tc>
          <w:tcPr>
            <w:tcW w:w="1334" w:type="dxa"/>
            <w:tcBorders>
              <w:bottom w:val="single" w:color="auto" w:sz="8" w:space="0"/>
            </w:tcBorders>
            <w:shd w:val="clear" w:color="auto" w:fill="auto"/>
            <w:vAlign w:val="center"/>
          </w:tcPr>
          <w:p>
            <w:pPr>
              <w:pStyle w:val="178"/>
            </w:pPr>
          </w:p>
        </w:tc>
        <w:tc>
          <w:tcPr>
            <w:tcW w:w="1334" w:type="dxa"/>
            <w:tcBorders>
              <w:bottom w:val="single" w:color="auto" w:sz="8" w:space="0"/>
            </w:tcBorders>
            <w:shd w:val="clear" w:color="auto" w:fill="auto"/>
            <w:vAlign w:val="center"/>
          </w:tcPr>
          <w:p>
            <w:pPr>
              <w:pStyle w:val="178"/>
            </w:pPr>
          </w:p>
        </w:tc>
        <w:tc>
          <w:tcPr>
            <w:tcW w:w="1334" w:type="dxa"/>
            <w:tcBorders>
              <w:bottom w:val="single" w:color="auto" w:sz="8" w:space="0"/>
            </w:tcBorders>
            <w:shd w:val="clear" w:color="auto" w:fill="auto"/>
            <w:vAlign w:val="center"/>
          </w:tcPr>
          <w:p>
            <w:pPr>
              <w:pStyle w:val="178"/>
            </w:pPr>
          </w:p>
        </w:tc>
        <w:tc>
          <w:tcPr>
            <w:tcW w:w="1334" w:type="dxa"/>
            <w:tcBorders>
              <w:bottom w:val="single" w:color="auto" w:sz="8" w:space="0"/>
            </w:tcBorders>
            <w:shd w:val="clear" w:color="auto" w:fill="auto"/>
            <w:vAlign w:val="center"/>
          </w:tcPr>
          <w:p>
            <w:pPr>
              <w:pStyle w:val="178"/>
            </w:pPr>
          </w:p>
        </w:tc>
      </w:tr>
    </w:tbl>
    <w:p>
      <w:pPr>
        <w:pStyle w:val="56"/>
        <w:ind w:firstLine="420"/>
      </w:pPr>
    </w:p>
    <w:p>
      <w:pPr>
        <w:pStyle w:val="56"/>
        <w:ind w:firstLine="420"/>
      </w:pPr>
    </w:p>
    <w:p>
      <w:pPr>
        <w:pStyle w:val="56"/>
        <w:ind w:firstLine="420"/>
      </w:pPr>
    </w:p>
    <w:p>
      <w:pPr>
        <w:pStyle w:val="56"/>
        <w:ind w:firstLine="420"/>
      </w:pPr>
    </w:p>
    <w:bookmarkEnd w:id="191"/>
    <w:p>
      <w:pPr>
        <w:pStyle w:val="56"/>
        <w:ind w:firstLine="420"/>
        <w:sectPr>
          <w:headerReference r:id="rId67" w:type="default"/>
          <w:footerReference r:id="rId69" w:type="default"/>
          <w:headerReference r:id="rId68" w:type="even"/>
          <w:footerReference r:id="rId70" w:type="even"/>
          <w:pgSz w:w="11906" w:h="16838"/>
          <w:pgMar w:top="1928" w:right="1134" w:bottom="1134" w:left="1134" w:header="1418" w:footer="1134" w:gutter="284"/>
          <w:cols w:space="425" w:num="1"/>
          <w:formProt w:val="0"/>
          <w:docGrid w:type="lines" w:linePitch="312" w:charSpace="0"/>
        </w:sectPr>
      </w:pPr>
      <w:bookmarkStart w:id="338" w:name="BookMark6"/>
    </w:p>
    <w:p>
      <w:pPr>
        <w:pStyle w:val="63"/>
        <w:spacing w:after="156"/>
      </w:pPr>
      <w:bookmarkStart w:id="339" w:name="_Toc134186385"/>
      <w:bookmarkStart w:id="340" w:name="_Toc134112907"/>
      <w:bookmarkStart w:id="341" w:name="_Toc134174297"/>
      <w:bookmarkStart w:id="342" w:name="_Toc134112288"/>
      <w:bookmarkStart w:id="343" w:name="_Toc134175488"/>
      <w:bookmarkStart w:id="344" w:name="_Toc134175288"/>
      <w:bookmarkStart w:id="345" w:name="_Toc134175169"/>
      <w:bookmarkStart w:id="346" w:name="_Toc134175675"/>
      <w:bookmarkStart w:id="347" w:name="_Toc134195245"/>
      <w:bookmarkStart w:id="348" w:name="_Toc134194768"/>
      <w:bookmarkStart w:id="349" w:name="_Toc135404403"/>
      <w:r>
        <w:rPr>
          <w:rFonts w:hint="eastAsia"/>
          <w:spacing w:val="105"/>
        </w:rPr>
        <w:t>参考文</w:t>
      </w:r>
      <w:r>
        <w:rPr>
          <w:rFonts w:hint="eastAsia"/>
        </w:rPr>
        <w:t>献</w:t>
      </w:r>
      <w:bookmarkEnd w:id="339"/>
      <w:bookmarkEnd w:id="340"/>
      <w:bookmarkEnd w:id="341"/>
      <w:bookmarkEnd w:id="342"/>
      <w:bookmarkEnd w:id="343"/>
      <w:bookmarkEnd w:id="344"/>
      <w:bookmarkEnd w:id="345"/>
      <w:bookmarkEnd w:id="346"/>
      <w:bookmarkEnd w:id="347"/>
      <w:bookmarkEnd w:id="348"/>
      <w:bookmarkEnd w:id="349"/>
    </w:p>
    <w:p>
      <w:pPr>
        <w:pStyle w:val="56"/>
        <w:ind w:firstLine="420"/>
      </w:pPr>
      <w:r>
        <w:rPr>
          <w:rFonts w:hint="eastAsia"/>
        </w:rPr>
        <w:t>[1]《中华人民共和国安全生产法》（2021年）</w:t>
      </w:r>
    </w:p>
    <w:p>
      <w:pPr>
        <w:pStyle w:val="56"/>
        <w:ind w:firstLine="420"/>
      </w:pPr>
      <w:r>
        <w:rPr>
          <w:rFonts w:hint="eastAsia"/>
        </w:rPr>
        <w:t>[2]《超限运输车辆行驶公路管理规定》（交通运输部2021年第12号令）</w:t>
      </w:r>
    </w:p>
    <w:p>
      <w:pPr>
        <w:pStyle w:val="56"/>
        <w:ind w:firstLine="420"/>
      </w:pPr>
      <w:r>
        <w:rPr>
          <w:rFonts w:hint="eastAsia"/>
        </w:rPr>
        <w:t>[3]《江苏省公路条例》（2021年）</w:t>
      </w:r>
    </w:p>
    <w:p>
      <w:pPr>
        <w:pStyle w:val="56"/>
        <w:ind w:firstLine="420"/>
      </w:pPr>
      <w:r>
        <w:rPr>
          <w:rFonts w:hint="eastAsia"/>
        </w:rPr>
        <w:t>[4]《江苏省治理公路超限超载运输办法》</w:t>
      </w:r>
      <w:bookmarkStart w:id="350" w:name="_Hlk134195485"/>
      <w:r>
        <w:rPr>
          <w:rFonts w:hint="eastAsia"/>
        </w:rPr>
        <w:t>（江苏省人民政府令第160号）</w:t>
      </w:r>
      <w:bookmarkEnd w:id="350"/>
    </w:p>
    <w:p>
      <w:pPr>
        <w:pStyle w:val="56"/>
        <w:ind w:firstLine="420"/>
      </w:pPr>
      <w:r>
        <w:rPr>
          <w:rFonts w:hint="eastAsia"/>
        </w:rPr>
        <w:t>[5]《交通运输部公安部关于治理车辆超限超载联合执法常态化制度化工作的实施意见（试行）》（交公路发〔2017〕173号）</w:t>
      </w:r>
    </w:p>
    <w:p>
      <w:pPr>
        <w:pStyle w:val="56"/>
        <w:ind w:firstLine="420"/>
      </w:pPr>
      <w:r>
        <w:rPr>
          <w:rFonts w:hint="eastAsia"/>
        </w:rPr>
        <w:t>[6]《江苏省交通运输厅关于进一步加强大件运输许可管理工作的通知》（苏交执法函〔2022〕64号）</w:t>
      </w:r>
    </w:p>
    <w:p>
      <w:pPr>
        <w:pStyle w:val="56"/>
        <w:ind w:firstLine="420"/>
      </w:pPr>
      <w:r>
        <w:rPr>
          <w:rFonts w:hint="eastAsia"/>
        </w:rPr>
        <w:t>[7]关于印发《南通市港口码头、货运站场、重点货运源头单位、长江汽渡及卸驳载场所治超技术要求》的通知（通治超办〔2020〕21号）</w:t>
      </w:r>
    </w:p>
    <w:p>
      <w:pPr>
        <w:pStyle w:val="56"/>
        <w:ind w:firstLine="420"/>
      </w:pPr>
    </w:p>
    <w:p>
      <w:pPr>
        <w:pStyle w:val="56"/>
        <w:ind w:firstLine="420"/>
      </w:pPr>
    </w:p>
    <w:p>
      <w:pPr>
        <w:pStyle w:val="56"/>
        <w:ind w:firstLine="420"/>
      </w:pPr>
    </w:p>
    <w:bookmarkEnd w:id="338"/>
    <w:p>
      <w:pPr>
        <w:pStyle w:val="56"/>
        <w:ind w:firstLine="420"/>
      </w:pPr>
    </w:p>
    <w:sectPr>
      <w:headerReference r:id="rId71" w:type="default"/>
      <w:footerReference r:id="rId73" w:type="default"/>
      <w:headerReference r:id="rId72" w:type="even"/>
      <w:footerReference r:id="rId74" w:type="even"/>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5</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6</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15</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16</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3206/T XXXX—2023</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3206/T XXXX—2023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0E370EA6"/>
    <w:multiLevelType w:val="multilevel"/>
    <w:tmpl w:val="0E370EA6"/>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AC60DC9"/>
    <w:multiLevelType w:val="multilevel"/>
    <w:tmpl w:val="6AC60DC9"/>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color w:val="auto"/>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2">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9"/>
  </w:num>
  <w:num w:numId="3">
    <w:abstractNumId w:val="5"/>
  </w:num>
  <w:num w:numId="4">
    <w:abstractNumId w:val="24"/>
  </w:num>
  <w:num w:numId="5">
    <w:abstractNumId w:val="19"/>
  </w:num>
  <w:num w:numId="6">
    <w:abstractNumId w:val="14"/>
  </w:num>
  <w:num w:numId="7">
    <w:abstractNumId w:val="9"/>
  </w:num>
  <w:num w:numId="8">
    <w:abstractNumId w:val="3"/>
  </w:num>
  <w:num w:numId="9">
    <w:abstractNumId w:val="10"/>
  </w:num>
  <w:num w:numId="10">
    <w:abstractNumId w:val="17"/>
  </w:num>
  <w:num w:numId="11">
    <w:abstractNumId w:val="27"/>
  </w:num>
  <w:num w:numId="12">
    <w:abstractNumId w:val="12"/>
  </w:num>
  <w:num w:numId="13">
    <w:abstractNumId w:val="13"/>
  </w:num>
  <w:num w:numId="14">
    <w:abstractNumId w:val="8"/>
  </w:num>
  <w:num w:numId="15">
    <w:abstractNumId w:val="20"/>
  </w:num>
  <w:num w:numId="16">
    <w:abstractNumId w:val="22"/>
  </w:num>
  <w:num w:numId="17">
    <w:abstractNumId w:val="18"/>
  </w:num>
  <w:num w:numId="18">
    <w:abstractNumId w:val="31"/>
  </w:num>
  <w:num w:numId="19">
    <w:abstractNumId w:val="16"/>
  </w:num>
  <w:num w:numId="20">
    <w:abstractNumId w:val="1"/>
  </w:num>
  <w:num w:numId="21">
    <w:abstractNumId w:val="11"/>
  </w:num>
  <w:num w:numId="22">
    <w:abstractNumId w:val="32"/>
  </w:num>
  <w:num w:numId="23">
    <w:abstractNumId w:val="21"/>
  </w:num>
  <w:num w:numId="24">
    <w:abstractNumId w:val="6"/>
  </w:num>
  <w:num w:numId="25">
    <w:abstractNumId w:val="28"/>
  </w:num>
  <w:num w:numId="26">
    <w:abstractNumId w:val="30"/>
  </w:num>
  <w:num w:numId="27">
    <w:abstractNumId w:val="2"/>
  </w:num>
  <w:num w:numId="28">
    <w:abstractNumId w:val="4"/>
  </w:num>
  <w:num w:numId="29">
    <w:abstractNumId w:val="15"/>
  </w:num>
  <w:num w:numId="30">
    <w:abstractNumId w:val="25"/>
  </w:num>
  <w:num w:numId="31">
    <w:abstractNumId w:val="23"/>
  </w:num>
  <w:num w:numId="32">
    <w:abstractNumId w:val="7"/>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1" w:cryptProviderType="rsaAES" w:cryptAlgorithmClass="hash" w:cryptAlgorithmType="typeAny" w:cryptAlgorithmSid="14" w:cryptSpinCount="100000" w:hash="PT7Wh0JAnam58JO2fcGi3cug39FL6VYfuEYWy36jPZ/hNU6bCZqIQKQuACEdS2/s5mhv7TA6pFeX8dGKFGAylQ==" w:salt="IZ158Ey0Tx8lrwnnPC95Cg=="/>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0MzA4ZDY0NWQ1NjE4YTA0OWMwYzdjZDE1YzljMzMifQ=="/>
  </w:docVars>
  <w:rsids>
    <w:rsidRoot w:val="0055229B"/>
    <w:rsid w:val="0000040A"/>
    <w:rsid w:val="00000A94"/>
    <w:rsid w:val="00001972"/>
    <w:rsid w:val="00001D9A"/>
    <w:rsid w:val="00007B3A"/>
    <w:rsid w:val="000107E0"/>
    <w:rsid w:val="00011FDE"/>
    <w:rsid w:val="00012FFD"/>
    <w:rsid w:val="00013CB5"/>
    <w:rsid w:val="00014162"/>
    <w:rsid w:val="00014340"/>
    <w:rsid w:val="00016A9C"/>
    <w:rsid w:val="00022184"/>
    <w:rsid w:val="00022762"/>
    <w:rsid w:val="000238E0"/>
    <w:rsid w:val="000249DB"/>
    <w:rsid w:val="00024DF1"/>
    <w:rsid w:val="0002595E"/>
    <w:rsid w:val="000303C3"/>
    <w:rsid w:val="000331D3"/>
    <w:rsid w:val="000346A5"/>
    <w:rsid w:val="000359C3"/>
    <w:rsid w:val="00035A7D"/>
    <w:rsid w:val="000365ED"/>
    <w:rsid w:val="0004249A"/>
    <w:rsid w:val="00043282"/>
    <w:rsid w:val="00043B8F"/>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33C"/>
    <w:rsid w:val="000C57D6"/>
    <w:rsid w:val="000C5F9E"/>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44C9"/>
    <w:rsid w:val="0011711C"/>
    <w:rsid w:val="0012059C"/>
    <w:rsid w:val="00124A97"/>
    <w:rsid w:val="00124E4F"/>
    <w:rsid w:val="00125D4D"/>
    <w:rsid w:val="001260B7"/>
    <w:rsid w:val="001265CB"/>
    <w:rsid w:val="001321C6"/>
    <w:rsid w:val="001325C4"/>
    <w:rsid w:val="00133010"/>
    <w:rsid w:val="001338EE"/>
    <w:rsid w:val="00133AAE"/>
    <w:rsid w:val="00135323"/>
    <w:rsid w:val="001356C4"/>
    <w:rsid w:val="00141114"/>
    <w:rsid w:val="00141FFD"/>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0D34"/>
    <w:rsid w:val="001913C4"/>
    <w:rsid w:val="0019348F"/>
    <w:rsid w:val="00193A07"/>
    <w:rsid w:val="00193FD7"/>
    <w:rsid w:val="00194C95"/>
    <w:rsid w:val="00195C34"/>
    <w:rsid w:val="00196EF5"/>
    <w:rsid w:val="001A1A53"/>
    <w:rsid w:val="001A234A"/>
    <w:rsid w:val="001A4CF3"/>
    <w:rsid w:val="001B06E8"/>
    <w:rsid w:val="001B71D0"/>
    <w:rsid w:val="001B71EE"/>
    <w:rsid w:val="001C04A8"/>
    <w:rsid w:val="001C0772"/>
    <w:rsid w:val="001C2194"/>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63A6"/>
    <w:rsid w:val="001E6958"/>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0CE0"/>
    <w:rsid w:val="00241EE6"/>
    <w:rsid w:val="00243540"/>
    <w:rsid w:val="0024497B"/>
    <w:rsid w:val="00244C5E"/>
    <w:rsid w:val="00244D60"/>
    <w:rsid w:val="0024515B"/>
    <w:rsid w:val="00246021"/>
    <w:rsid w:val="0024666E"/>
    <w:rsid w:val="00247F52"/>
    <w:rsid w:val="00250B25"/>
    <w:rsid w:val="00250BBE"/>
    <w:rsid w:val="002515C2"/>
    <w:rsid w:val="0025194F"/>
    <w:rsid w:val="00254630"/>
    <w:rsid w:val="0026148A"/>
    <w:rsid w:val="00262696"/>
    <w:rsid w:val="00263D25"/>
    <w:rsid w:val="002643C3"/>
    <w:rsid w:val="00264A0C"/>
    <w:rsid w:val="00266EEB"/>
    <w:rsid w:val="00267EF4"/>
    <w:rsid w:val="002705C7"/>
    <w:rsid w:val="00270CB8"/>
    <w:rsid w:val="00272B08"/>
    <w:rsid w:val="002771AC"/>
    <w:rsid w:val="00281BB8"/>
    <w:rsid w:val="00281E9E"/>
    <w:rsid w:val="00282405"/>
    <w:rsid w:val="00285170"/>
    <w:rsid w:val="00285361"/>
    <w:rsid w:val="00292D60"/>
    <w:rsid w:val="00293B30"/>
    <w:rsid w:val="00294D34"/>
    <w:rsid w:val="00294E3B"/>
    <w:rsid w:val="00296100"/>
    <w:rsid w:val="00296193"/>
    <w:rsid w:val="00296C66"/>
    <w:rsid w:val="00296EBE"/>
    <w:rsid w:val="002974E3"/>
    <w:rsid w:val="002A084B"/>
    <w:rsid w:val="002A1260"/>
    <w:rsid w:val="002A1589"/>
    <w:rsid w:val="002A1608"/>
    <w:rsid w:val="002A25DC"/>
    <w:rsid w:val="002A3AAB"/>
    <w:rsid w:val="002A4CEA"/>
    <w:rsid w:val="002A5977"/>
    <w:rsid w:val="002A5A13"/>
    <w:rsid w:val="002A6EED"/>
    <w:rsid w:val="002A757F"/>
    <w:rsid w:val="002A7F44"/>
    <w:rsid w:val="002B0C40"/>
    <w:rsid w:val="002B1966"/>
    <w:rsid w:val="002B4508"/>
    <w:rsid w:val="002B5779"/>
    <w:rsid w:val="002B7332"/>
    <w:rsid w:val="002B7F51"/>
    <w:rsid w:val="002C09E7"/>
    <w:rsid w:val="002C09FE"/>
    <w:rsid w:val="002C1E06"/>
    <w:rsid w:val="002C1E1C"/>
    <w:rsid w:val="002C3F07"/>
    <w:rsid w:val="002C5278"/>
    <w:rsid w:val="002C5C17"/>
    <w:rsid w:val="002C7EBB"/>
    <w:rsid w:val="002D06C1"/>
    <w:rsid w:val="002D42B5"/>
    <w:rsid w:val="002D4F1A"/>
    <w:rsid w:val="002D6EC6"/>
    <w:rsid w:val="002D79AC"/>
    <w:rsid w:val="002E039D"/>
    <w:rsid w:val="002E370E"/>
    <w:rsid w:val="002E4D5A"/>
    <w:rsid w:val="002E6326"/>
    <w:rsid w:val="002F30E0"/>
    <w:rsid w:val="002F35E4"/>
    <w:rsid w:val="002F3730"/>
    <w:rsid w:val="002F38E1"/>
    <w:rsid w:val="002F6BC5"/>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0622"/>
    <w:rsid w:val="0034194F"/>
    <w:rsid w:val="00341B55"/>
    <w:rsid w:val="00342899"/>
    <w:rsid w:val="00343218"/>
    <w:rsid w:val="00344605"/>
    <w:rsid w:val="003474AA"/>
    <w:rsid w:val="00350D1D"/>
    <w:rsid w:val="00352C83"/>
    <w:rsid w:val="003615D2"/>
    <w:rsid w:val="0036429C"/>
    <w:rsid w:val="00364A53"/>
    <w:rsid w:val="003654CB"/>
    <w:rsid w:val="00365AA9"/>
    <w:rsid w:val="00365F86"/>
    <w:rsid w:val="00365F87"/>
    <w:rsid w:val="00366E89"/>
    <w:rsid w:val="00367138"/>
    <w:rsid w:val="003705F4"/>
    <w:rsid w:val="00370D58"/>
    <w:rsid w:val="00371316"/>
    <w:rsid w:val="00376713"/>
    <w:rsid w:val="003805E9"/>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3876"/>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E39"/>
    <w:rsid w:val="003F3F08"/>
    <w:rsid w:val="003F49F1"/>
    <w:rsid w:val="003F4E83"/>
    <w:rsid w:val="003F6272"/>
    <w:rsid w:val="00400E72"/>
    <w:rsid w:val="00401400"/>
    <w:rsid w:val="00404869"/>
    <w:rsid w:val="00405884"/>
    <w:rsid w:val="00407228"/>
    <w:rsid w:val="00407D39"/>
    <w:rsid w:val="00410408"/>
    <w:rsid w:val="0041477A"/>
    <w:rsid w:val="004167A3"/>
    <w:rsid w:val="00432DAA"/>
    <w:rsid w:val="00434305"/>
    <w:rsid w:val="00435DF7"/>
    <w:rsid w:val="0044083F"/>
    <w:rsid w:val="00440F82"/>
    <w:rsid w:val="00441AE7"/>
    <w:rsid w:val="00445574"/>
    <w:rsid w:val="004467FB"/>
    <w:rsid w:val="00452D6B"/>
    <w:rsid w:val="00454484"/>
    <w:rsid w:val="0045517B"/>
    <w:rsid w:val="0046055D"/>
    <w:rsid w:val="00463B77"/>
    <w:rsid w:val="00463C7B"/>
    <w:rsid w:val="004644A6"/>
    <w:rsid w:val="004659BD"/>
    <w:rsid w:val="00467A5B"/>
    <w:rsid w:val="00470775"/>
    <w:rsid w:val="004711B0"/>
    <w:rsid w:val="004746B1"/>
    <w:rsid w:val="0047583F"/>
    <w:rsid w:val="00475DE8"/>
    <w:rsid w:val="0047732F"/>
    <w:rsid w:val="00481C44"/>
    <w:rsid w:val="00484936"/>
    <w:rsid w:val="00485C89"/>
    <w:rsid w:val="00486BE3"/>
    <w:rsid w:val="00486E54"/>
    <w:rsid w:val="004905E4"/>
    <w:rsid w:val="00490A89"/>
    <w:rsid w:val="00490AB4"/>
    <w:rsid w:val="00492F02"/>
    <w:rsid w:val="004939AE"/>
    <w:rsid w:val="004A12DF"/>
    <w:rsid w:val="004A17E6"/>
    <w:rsid w:val="004A1BA8"/>
    <w:rsid w:val="004A4B57"/>
    <w:rsid w:val="004A63FA"/>
    <w:rsid w:val="004A742D"/>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4AEB"/>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03F5"/>
    <w:rsid w:val="00501139"/>
    <w:rsid w:val="0050363E"/>
    <w:rsid w:val="005039BC"/>
    <w:rsid w:val="005043BB"/>
    <w:rsid w:val="00504A3D"/>
    <w:rsid w:val="00505767"/>
    <w:rsid w:val="005073F0"/>
    <w:rsid w:val="0051071E"/>
    <w:rsid w:val="00510A7B"/>
    <w:rsid w:val="00512F6E"/>
    <w:rsid w:val="00513038"/>
    <w:rsid w:val="00514174"/>
    <w:rsid w:val="00516088"/>
    <w:rsid w:val="00516B0B"/>
    <w:rsid w:val="005205C9"/>
    <w:rsid w:val="005220EC"/>
    <w:rsid w:val="00523F95"/>
    <w:rsid w:val="00524D65"/>
    <w:rsid w:val="00525B16"/>
    <w:rsid w:val="00526D9F"/>
    <w:rsid w:val="00533D04"/>
    <w:rsid w:val="00534804"/>
    <w:rsid w:val="00534BDF"/>
    <w:rsid w:val="005354EA"/>
    <w:rsid w:val="0053585F"/>
    <w:rsid w:val="00535EC4"/>
    <w:rsid w:val="00535ED9"/>
    <w:rsid w:val="0053692B"/>
    <w:rsid w:val="00537904"/>
    <w:rsid w:val="00541853"/>
    <w:rsid w:val="00543BDA"/>
    <w:rsid w:val="005441CC"/>
    <w:rsid w:val="005479DA"/>
    <w:rsid w:val="00547BCC"/>
    <w:rsid w:val="0055013B"/>
    <w:rsid w:val="00551F6F"/>
    <w:rsid w:val="0055229B"/>
    <w:rsid w:val="00555044"/>
    <w:rsid w:val="00561475"/>
    <w:rsid w:val="0056487B"/>
    <w:rsid w:val="00564FB9"/>
    <w:rsid w:val="00573D9E"/>
    <w:rsid w:val="005752DB"/>
    <w:rsid w:val="005801E3"/>
    <w:rsid w:val="00581802"/>
    <w:rsid w:val="005836A8"/>
    <w:rsid w:val="0058409C"/>
    <w:rsid w:val="00584262"/>
    <w:rsid w:val="00586630"/>
    <w:rsid w:val="00587ADD"/>
    <w:rsid w:val="00591E27"/>
    <w:rsid w:val="00596160"/>
    <w:rsid w:val="005966E2"/>
    <w:rsid w:val="005969B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D7EF3"/>
    <w:rsid w:val="005E2335"/>
    <w:rsid w:val="005E34CA"/>
    <w:rsid w:val="005E3C18"/>
    <w:rsid w:val="005E403F"/>
    <w:rsid w:val="005E593C"/>
    <w:rsid w:val="005E6812"/>
    <w:rsid w:val="005E7881"/>
    <w:rsid w:val="005E78E0"/>
    <w:rsid w:val="005F0D9C"/>
    <w:rsid w:val="005F284E"/>
    <w:rsid w:val="005F4712"/>
    <w:rsid w:val="005F5402"/>
    <w:rsid w:val="006015CE"/>
    <w:rsid w:val="00604784"/>
    <w:rsid w:val="00606419"/>
    <w:rsid w:val="00607D29"/>
    <w:rsid w:val="00612952"/>
    <w:rsid w:val="00614CC1"/>
    <w:rsid w:val="00615A9D"/>
    <w:rsid w:val="00617387"/>
    <w:rsid w:val="006205D6"/>
    <w:rsid w:val="006252D8"/>
    <w:rsid w:val="006259BC"/>
    <w:rsid w:val="0062636B"/>
    <w:rsid w:val="00627E66"/>
    <w:rsid w:val="00632182"/>
    <w:rsid w:val="00632AE0"/>
    <w:rsid w:val="00633C17"/>
    <w:rsid w:val="00634D9E"/>
    <w:rsid w:val="00636C7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0308"/>
    <w:rsid w:val="00694154"/>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09ED"/>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6E67"/>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55E"/>
    <w:rsid w:val="007B5A3D"/>
    <w:rsid w:val="007B5B95"/>
    <w:rsid w:val="007B68EA"/>
    <w:rsid w:val="007B7453"/>
    <w:rsid w:val="007C082D"/>
    <w:rsid w:val="007C1E8B"/>
    <w:rsid w:val="007C2D89"/>
    <w:rsid w:val="007C4593"/>
    <w:rsid w:val="007C461F"/>
    <w:rsid w:val="007C5309"/>
    <w:rsid w:val="007C6069"/>
    <w:rsid w:val="007D06C4"/>
    <w:rsid w:val="007D1352"/>
    <w:rsid w:val="007D1626"/>
    <w:rsid w:val="007D2508"/>
    <w:rsid w:val="007D346A"/>
    <w:rsid w:val="007D6518"/>
    <w:rsid w:val="007D76BD"/>
    <w:rsid w:val="007D7722"/>
    <w:rsid w:val="007E0BF1"/>
    <w:rsid w:val="007E546F"/>
    <w:rsid w:val="007F0ED8"/>
    <w:rsid w:val="007F0F63"/>
    <w:rsid w:val="007F75CE"/>
    <w:rsid w:val="008013A4"/>
    <w:rsid w:val="008027CE"/>
    <w:rsid w:val="00802F42"/>
    <w:rsid w:val="00804383"/>
    <w:rsid w:val="00804BB7"/>
    <w:rsid w:val="00804D41"/>
    <w:rsid w:val="00810257"/>
    <w:rsid w:val="008104F5"/>
    <w:rsid w:val="00810CF9"/>
    <w:rsid w:val="00811072"/>
    <w:rsid w:val="00811369"/>
    <w:rsid w:val="00815419"/>
    <w:rsid w:val="008163C8"/>
    <w:rsid w:val="008164A1"/>
    <w:rsid w:val="0081660D"/>
    <w:rsid w:val="00817325"/>
    <w:rsid w:val="008209E6"/>
    <w:rsid w:val="00823303"/>
    <w:rsid w:val="008233B2"/>
    <w:rsid w:val="00823A9F"/>
    <w:rsid w:val="00823C85"/>
    <w:rsid w:val="00825138"/>
    <w:rsid w:val="008269DD"/>
    <w:rsid w:val="00830621"/>
    <w:rsid w:val="00830657"/>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02F1"/>
    <w:rsid w:val="008A1893"/>
    <w:rsid w:val="008A3215"/>
    <w:rsid w:val="008A3DDF"/>
    <w:rsid w:val="008A57E6"/>
    <w:rsid w:val="008A6F81"/>
    <w:rsid w:val="008A769A"/>
    <w:rsid w:val="008B0C9C"/>
    <w:rsid w:val="008B166D"/>
    <w:rsid w:val="008B17F4"/>
    <w:rsid w:val="008B3615"/>
    <w:rsid w:val="008B4AC4"/>
    <w:rsid w:val="008B50C8"/>
    <w:rsid w:val="008B5281"/>
    <w:rsid w:val="008B7E05"/>
    <w:rsid w:val="008C0A03"/>
    <w:rsid w:val="008C1797"/>
    <w:rsid w:val="008C190A"/>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496"/>
    <w:rsid w:val="00902722"/>
    <w:rsid w:val="009027BC"/>
    <w:rsid w:val="009062E6"/>
    <w:rsid w:val="00911BE5"/>
    <w:rsid w:val="00913CA9"/>
    <w:rsid w:val="009145AE"/>
    <w:rsid w:val="009146CE"/>
    <w:rsid w:val="00914CA7"/>
    <w:rsid w:val="00915C3E"/>
    <w:rsid w:val="009161A8"/>
    <w:rsid w:val="009245F5"/>
    <w:rsid w:val="009249EC"/>
    <w:rsid w:val="00926E6D"/>
    <w:rsid w:val="009273B3"/>
    <w:rsid w:val="009305B5"/>
    <w:rsid w:val="009429D5"/>
    <w:rsid w:val="00942BF1"/>
    <w:rsid w:val="00945180"/>
    <w:rsid w:val="00945428"/>
    <w:rsid w:val="0094607B"/>
    <w:rsid w:val="00953604"/>
    <w:rsid w:val="0095496B"/>
    <w:rsid w:val="009610DC"/>
    <w:rsid w:val="00961490"/>
    <w:rsid w:val="00963603"/>
    <w:rsid w:val="0096381A"/>
    <w:rsid w:val="00965E04"/>
    <w:rsid w:val="009674AD"/>
    <w:rsid w:val="00970CDC"/>
    <w:rsid w:val="00977010"/>
    <w:rsid w:val="00977D02"/>
    <w:rsid w:val="009809BB"/>
    <w:rsid w:val="0098364B"/>
    <w:rsid w:val="009911AF"/>
    <w:rsid w:val="00991875"/>
    <w:rsid w:val="0099195C"/>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2527"/>
    <w:rsid w:val="009B46F9"/>
    <w:rsid w:val="009B6029"/>
    <w:rsid w:val="009B6971"/>
    <w:rsid w:val="009C27F1"/>
    <w:rsid w:val="009C3152"/>
    <w:rsid w:val="009C4CFA"/>
    <w:rsid w:val="009C5070"/>
    <w:rsid w:val="009C56AE"/>
    <w:rsid w:val="009D112C"/>
    <w:rsid w:val="009D29C4"/>
    <w:rsid w:val="009D47FA"/>
    <w:rsid w:val="009D4C5B"/>
    <w:rsid w:val="009D50D2"/>
    <w:rsid w:val="009D6BCA"/>
    <w:rsid w:val="009E0F62"/>
    <w:rsid w:val="009E4A58"/>
    <w:rsid w:val="009E5A2D"/>
    <w:rsid w:val="009E5AB2"/>
    <w:rsid w:val="009E6219"/>
    <w:rsid w:val="009F03B3"/>
    <w:rsid w:val="009F3FE0"/>
    <w:rsid w:val="009F4B0E"/>
    <w:rsid w:val="00A0096C"/>
    <w:rsid w:val="00A01757"/>
    <w:rsid w:val="00A028C0"/>
    <w:rsid w:val="00A02BAE"/>
    <w:rsid w:val="00A06A6B"/>
    <w:rsid w:val="00A07E47"/>
    <w:rsid w:val="00A129D0"/>
    <w:rsid w:val="00A12C33"/>
    <w:rsid w:val="00A138BA"/>
    <w:rsid w:val="00A1433B"/>
    <w:rsid w:val="00A14872"/>
    <w:rsid w:val="00A14C8E"/>
    <w:rsid w:val="00A153D9"/>
    <w:rsid w:val="00A15F09"/>
    <w:rsid w:val="00A1612F"/>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0BC"/>
    <w:rsid w:val="00A67866"/>
    <w:rsid w:val="00A70B07"/>
    <w:rsid w:val="00A723F8"/>
    <w:rsid w:val="00A77CCB"/>
    <w:rsid w:val="00A80FE3"/>
    <w:rsid w:val="00A83D8D"/>
    <w:rsid w:val="00A8446B"/>
    <w:rsid w:val="00A84493"/>
    <w:rsid w:val="00A8473F"/>
    <w:rsid w:val="00A862D6"/>
    <w:rsid w:val="00A8715E"/>
    <w:rsid w:val="00A9295B"/>
    <w:rsid w:val="00A93B09"/>
    <w:rsid w:val="00A94247"/>
    <w:rsid w:val="00A952D7"/>
    <w:rsid w:val="00A963F7"/>
    <w:rsid w:val="00A96AD8"/>
    <w:rsid w:val="00AA052C"/>
    <w:rsid w:val="00AA1E45"/>
    <w:rsid w:val="00AA3BBE"/>
    <w:rsid w:val="00AA4286"/>
    <w:rsid w:val="00AA456B"/>
    <w:rsid w:val="00AA57F5"/>
    <w:rsid w:val="00AA672E"/>
    <w:rsid w:val="00AA68C1"/>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1632A"/>
    <w:rsid w:val="00B16B23"/>
    <w:rsid w:val="00B174AE"/>
    <w:rsid w:val="00B21F61"/>
    <w:rsid w:val="00B261F1"/>
    <w:rsid w:val="00B265BC"/>
    <w:rsid w:val="00B31B26"/>
    <w:rsid w:val="00B31FB1"/>
    <w:rsid w:val="00B33952"/>
    <w:rsid w:val="00B33C5E"/>
    <w:rsid w:val="00B342F4"/>
    <w:rsid w:val="00B34369"/>
    <w:rsid w:val="00B34DB6"/>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46DC"/>
    <w:rsid w:val="00B96D40"/>
    <w:rsid w:val="00B97386"/>
    <w:rsid w:val="00BA263B"/>
    <w:rsid w:val="00BA42B2"/>
    <w:rsid w:val="00BA58D4"/>
    <w:rsid w:val="00BA5B9E"/>
    <w:rsid w:val="00BA7C9A"/>
    <w:rsid w:val="00BB203B"/>
    <w:rsid w:val="00BB5F8F"/>
    <w:rsid w:val="00BB644A"/>
    <w:rsid w:val="00BB657A"/>
    <w:rsid w:val="00BC1A4E"/>
    <w:rsid w:val="00BC4790"/>
    <w:rsid w:val="00BC5DC7"/>
    <w:rsid w:val="00BC6B8B"/>
    <w:rsid w:val="00BC73D8"/>
    <w:rsid w:val="00BD52D7"/>
    <w:rsid w:val="00BD5AD2"/>
    <w:rsid w:val="00BE22F3"/>
    <w:rsid w:val="00BE2777"/>
    <w:rsid w:val="00BE5B52"/>
    <w:rsid w:val="00BE7B8D"/>
    <w:rsid w:val="00BF0993"/>
    <w:rsid w:val="00BF10A9"/>
    <w:rsid w:val="00BF1703"/>
    <w:rsid w:val="00BF231C"/>
    <w:rsid w:val="00BF2A01"/>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3715B"/>
    <w:rsid w:val="00C376A8"/>
    <w:rsid w:val="00C37B55"/>
    <w:rsid w:val="00C40C38"/>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1C5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B711D"/>
    <w:rsid w:val="00CC0320"/>
    <w:rsid w:val="00CC038D"/>
    <w:rsid w:val="00CC08DB"/>
    <w:rsid w:val="00CC39FF"/>
    <w:rsid w:val="00CC3C2F"/>
    <w:rsid w:val="00CC4AC8"/>
    <w:rsid w:val="00CC5233"/>
    <w:rsid w:val="00CC5DE6"/>
    <w:rsid w:val="00CC6E4E"/>
    <w:rsid w:val="00CC6FE8"/>
    <w:rsid w:val="00CC7202"/>
    <w:rsid w:val="00CD2808"/>
    <w:rsid w:val="00CD28BF"/>
    <w:rsid w:val="00CD3AD5"/>
    <w:rsid w:val="00CD4092"/>
    <w:rsid w:val="00CD4A20"/>
    <w:rsid w:val="00CD50A1"/>
    <w:rsid w:val="00CD519E"/>
    <w:rsid w:val="00CD561D"/>
    <w:rsid w:val="00CE0C4F"/>
    <w:rsid w:val="00CE30EA"/>
    <w:rsid w:val="00CE6418"/>
    <w:rsid w:val="00CF048A"/>
    <w:rsid w:val="00CF155A"/>
    <w:rsid w:val="00CF2947"/>
    <w:rsid w:val="00CF686F"/>
    <w:rsid w:val="00CF6E60"/>
    <w:rsid w:val="00CF7BCA"/>
    <w:rsid w:val="00D008FD"/>
    <w:rsid w:val="00D0321C"/>
    <w:rsid w:val="00D035EC"/>
    <w:rsid w:val="00D05FD2"/>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FA3"/>
    <w:rsid w:val="00D4162B"/>
    <w:rsid w:val="00D438E6"/>
    <w:rsid w:val="00D4514F"/>
    <w:rsid w:val="00D451E2"/>
    <w:rsid w:val="00D45CC9"/>
    <w:rsid w:val="00D45E89"/>
    <w:rsid w:val="00D45E8D"/>
    <w:rsid w:val="00D466AE"/>
    <w:rsid w:val="00D4694A"/>
    <w:rsid w:val="00D4734F"/>
    <w:rsid w:val="00D51BF3"/>
    <w:rsid w:val="00D66846"/>
    <w:rsid w:val="00D675FB"/>
    <w:rsid w:val="00D71F25"/>
    <w:rsid w:val="00D72A9C"/>
    <w:rsid w:val="00D74A2D"/>
    <w:rsid w:val="00D77031"/>
    <w:rsid w:val="00D84941"/>
    <w:rsid w:val="00D84FA1"/>
    <w:rsid w:val="00D851F0"/>
    <w:rsid w:val="00D86DB7"/>
    <w:rsid w:val="00D86FC1"/>
    <w:rsid w:val="00D926D0"/>
    <w:rsid w:val="00D93030"/>
    <w:rsid w:val="00D950E1"/>
    <w:rsid w:val="00D952A6"/>
    <w:rsid w:val="00D971D9"/>
    <w:rsid w:val="00D97F99"/>
    <w:rsid w:val="00DA1E08"/>
    <w:rsid w:val="00DA24F8"/>
    <w:rsid w:val="00DA28E8"/>
    <w:rsid w:val="00DA38D3"/>
    <w:rsid w:val="00DA3932"/>
    <w:rsid w:val="00DA3AFC"/>
    <w:rsid w:val="00DA5191"/>
    <w:rsid w:val="00DA64F8"/>
    <w:rsid w:val="00DA6C15"/>
    <w:rsid w:val="00DB0258"/>
    <w:rsid w:val="00DB13F4"/>
    <w:rsid w:val="00DB38EE"/>
    <w:rsid w:val="00DB498B"/>
    <w:rsid w:val="00DB66CA"/>
    <w:rsid w:val="00DB6BCA"/>
    <w:rsid w:val="00DB73F7"/>
    <w:rsid w:val="00DC0321"/>
    <w:rsid w:val="00DC17F4"/>
    <w:rsid w:val="00DC3067"/>
    <w:rsid w:val="00DC370B"/>
    <w:rsid w:val="00DC5B90"/>
    <w:rsid w:val="00DC6A4B"/>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164"/>
    <w:rsid w:val="00DF44DE"/>
    <w:rsid w:val="00DF5F11"/>
    <w:rsid w:val="00E00A7C"/>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2F8C"/>
    <w:rsid w:val="00E4364A"/>
    <w:rsid w:val="00E44A83"/>
    <w:rsid w:val="00E502C1"/>
    <w:rsid w:val="00E502DD"/>
    <w:rsid w:val="00E50D3A"/>
    <w:rsid w:val="00E51387"/>
    <w:rsid w:val="00E51E68"/>
    <w:rsid w:val="00E52EFD"/>
    <w:rsid w:val="00E5408A"/>
    <w:rsid w:val="00E56800"/>
    <w:rsid w:val="00E60C63"/>
    <w:rsid w:val="00E62FF9"/>
    <w:rsid w:val="00E635D6"/>
    <w:rsid w:val="00E63838"/>
    <w:rsid w:val="00E639BC"/>
    <w:rsid w:val="00E664CC"/>
    <w:rsid w:val="00E6653F"/>
    <w:rsid w:val="00E70388"/>
    <w:rsid w:val="00E70F92"/>
    <w:rsid w:val="00E74C54"/>
    <w:rsid w:val="00E7658E"/>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6837"/>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4EBE"/>
    <w:rsid w:val="00EF7E72"/>
    <w:rsid w:val="00F0105C"/>
    <w:rsid w:val="00F03B5A"/>
    <w:rsid w:val="00F06D37"/>
    <w:rsid w:val="00F07B9D"/>
    <w:rsid w:val="00F11586"/>
    <w:rsid w:val="00F1183B"/>
    <w:rsid w:val="00F11C9F"/>
    <w:rsid w:val="00F12263"/>
    <w:rsid w:val="00F1409D"/>
    <w:rsid w:val="00F14214"/>
    <w:rsid w:val="00F157A9"/>
    <w:rsid w:val="00F25BB6"/>
    <w:rsid w:val="00F26B7E"/>
    <w:rsid w:val="00F27A3B"/>
    <w:rsid w:val="00F33817"/>
    <w:rsid w:val="00F41FEC"/>
    <w:rsid w:val="00F420D5"/>
    <w:rsid w:val="00F435C8"/>
    <w:rsid w:val="00F451EA"/>
    <w:rsid w:val="00F45447"/>
    <w:rsid w:val="00F456C6"/>
    <w:rsid w:val="00F4577B"/>
    <w:rsid w:val="00F46496"/>
    <w:rsid w:val="00F474D0"/>
    <w:rsid w:val="00F50179"/>
    <w:rsid w:val="00F515EE"/>
    <w:rsid w:val="00F5545D"/>
    <w:rsid w:val="00F56511"/>
    <w:rsid w:val="00F60678"/>
    <w:rsid w:val="00F6194E"/>
    <w:rsid w:val="00F623AC"/>
    <w:rsid w:val="00F6412A"/>
    <w:rsid w:val="00F65893"/>
    <w:rsid w:val="00F66A4A"/>
    <w:rsid w:val="00F71E22"/>
    <w:rsid w:val="00F72142"/>
    <w:rsid w:val="00F72AE7"/>
    <w:rsid w:val="00F7688D"/>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11E7"/>
    <w:rsid w:val="00FA4DAC"/>
    <w:rsid w:val="00FA662D"/>
    <w:rsid w:val="00FA73B1"/>
    <w:rsid w:val="00FA78C5"/>
    <w:rsid w:val="00FB0CB9"/>
    <w:rsid w:val="00FB231D"/>
    <w:rsid w:val="00FB3B8C"/>
    <w:rsid w:val="00FB45F1"/>
    <w:rsid w:val="00FB4A72"/>
    <w:rsid w:val="00FB54E8"/>
    <w:rsid w:val="00FB6C8B"/>
    <w:rsid w:val="00FB7054"/>
    <w:rsid w:val="00FC17B7"/>
    <w:rsid w:val="00FC2CB7"/>
    <w:rsid w:val="00FC4090"/>
    <w:rsid w:val="00FC55B4"/>
    <w:rsid w:val="00FD00E6"/>
    <w:rsid w:val="00FD09A1"/>
    <w:rsid w:val="00FD2A7C"/>
    <w:rsid w:val="00FD59EB"/>
    <w:rsid w:val="00FD6A7B"/>
    <w:rsid w:val="00FD7299"/>
    <w:rsid w:val="00FE1FBE"/>
    <w:rsid w:val="00FE3901"/>
    <w:rsid w:val="00FE39D3"/>
    <w:rsid w:val="00FE4BCE"/>
    <w:rsid w:val="00FE54AE"/>
    <w:rsid w:val="00FE576A"/>
    <w:rsid w:val="00FE7E79"/>
    <w:rsid w:val="00FF3E7D"/>
    <w:rsid w:val="00FF5B99"/>
    <w:rsid w:val="00FF730C"/>
    <w:rsid w:val="00FF73F4"/>
    <w:rsid w:val="00FF7CE4"/>
    <w:rsid w:val="00FF7E39"/>
    <w:rsid w:val="20DD30A6"/>
    <w:rsid w:val="53D66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24.png"/><Relationship Id="rId98" Type="http://schemas.openxmlformats.org/officeDocument/2006/relationships/image" Target="media/image23.png"/><Relationship Id="rId97" Type="http://schemas.openxmlformats.org/officeDocument/2006/relationships/image" Target="media/image22.png"/><Relationship Id="rId96" Type="http://schemas.openxmlformats.org/officeDocument/2006/relationships/image" Target="media/image21.png"/><Relationship Id="rId95" Type="http://schemas.openxmlformats.org/officeDocument/2006/relationships/image" Target="media/image20.pn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png"/><Relationship Id="rId91" Type="http://schemas.openxmlformats.org/officeDocument/2006/relationships/image" Target="media/image16.png"/><Relationship Id="rId90" Type="http://schemas.openxmlformats.org/officeDocument/2006/relationships/image" Target="media/image15.png"/><Relationship Id="rId9" Type="http://schemas.openxmlformats.org/officeDocument/2006/relationships/footer" Target="footer2.xml"/><Relationship Id="rId89" Type="http://schemas.openxmlformats.org/officeDocument/2006/relationships/image" Target="media/image14.png"/><Relationship Id="rId88" Type="http://schemas.openxmlformats.org/officeDocument/2006/relationships/image" Target="media/image13.png"/><Relationship Id="rId87" Type="http://schemas.openxmlformats.org/officeDocument/2006/relationships/image" Target="media/image12.png"/><Relationship Id="rId86" Type="http://schemas.openxmlformats.org/officeDocument/2006/relationships/image" Target="media/image11.png"/><Relationship Id="rId85" Type="http://schemas.openxmlformats.org/officeDocument/2006/relationships/image" Target="media/image10.png"/><Relationship Id="rId84" Type="http://schemas.openxmlformats.org/officeDocument/2006/relationships/image" Target="media/image9.png"/><Relationship Id="rId83" Type="http://schemas.openxmlformats.org/officeDocument/2006/relationships/image" Target="media/image8.png"/><Relationship Id="rId82" Type="http://schemas.openxmlformats.org/officeDocument/2006/relationships/image" Target="media/image7.png"/><Relationship Id="rId81" Type="http://schemas.openxmlformats.org/officeDocument/2006/relationships/image" Target="media/image6.png"/><Relationship Id="rId80" Type="http://schemas.openxmlformats.org/officeDocument/2006/relationships/image" Target="media/image5.png"/><Relationship Id="rId8" Type="http://schemas.openxmlformats.org/officeDocument/2006/relationships/footer" Target="footer1.xml"/><Relationship Id="rId79" Type="http://schemas.openxmlformats.org/officeDocument/2006/relationships/image" Target="media/image4.png"/><Relationship Id="rId78" Type="http://schemas.openxmlformats.org/officeDocument/2006/relationships/image" Target="media/image3.png"/><Relationship Id="rId77" Type="http://schemas.openxmlformats.org/officeDocument/2006/relationships/image" Target="media/image2.png"/><Relationship Id="rId76" Type="http://schemas.openxmlformats.org/officeDocument/2006/relationships/image" Target="media/image1.tiff"/><Relationship Id="rId75" Type="http://schemas.openxmlformats.org/officeDocument/2006/relationships/theme" Target="theme/theme1.xml"/><Relationship Id="rId74" Type="http://schemas.openxmlformats.org/officeDocument/2006/relationships/footer" Target="footer35.xml"/><Relationship Id="rId73" Type="http://schemas.openxmlformats.org/officeDocument/2006/relationships/footer" Target="footer34.xml"/><Relationship Id="rId72" Type="http://schemas.openxmlformats.org/officeDocument/2006/relationships/header" Target="header35.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3.xml"/><Relationship Id="rId69" Type="http://schemas.openxmlformats.org/officeDocument/2006/relationships/footer" Target="footer32.xml"/><Relationship Id="rId68" Type="http://schemas.openxmlformats.org/officeDocument/2006/relationships/header" Target="header33.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footer" Target="footer30.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header" Target="header29.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0" Type="http://schemas.openxmlformats.org/officeDocument/2006/relationships/glossaryDocument" Target="glossary/document.xml"/><Relationship Id="rId13" Type="http://schemas.openxmlformats.org/officeDocument/2006/relationships/footer" Target="footer4.xml"/><Relationship Id="rId129" Type="http://schemas.openxmlformats.org/officeDocument/2006/relationships/fontTable" Target="fontTable.xml"/><Relationship Id="rId128" Type="http://schemas.openxmlformats.org/officeDocument/2006/relationships/customXml" Target="../customXml/item2.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50.png"/><Relationship Id="rId124" Type="http://schemas.openxmlformats.org/officeDocument/2006/relationships/image" Target="media/image49.png"/><Relationship Id="rId123" Type="http://schemas.openxmlformats.org/officeDocument/2006/relationships/image" Target="media/image48.png"/><Relationship Id="rId122" Type="http://schemas.openxmlformats.org/officeDocument/2006/relationships/image" Target="media/image47.png"/><Relationship Id="rId121" Type="http://schemas.openxmlformats.org/officeDocument/2006/relationships/image" Target="media/image46.png"/><Relationship Id="rId120" Type="http://schemas.openxmlformats.org/officeDocument/2006/relationships/image" Target="media/image45.png"/><Relationship Id="rId12" Type="http://schemas.openxmlformats.org/officeDocument/2006/relationships/header" Target="header5.xml"/><Relationship Id="rId119" Type="http://schemas.openxmlformats.org/officeDocument/2006/relationships/image" Target="media/image44.png"/><Relationship Id="rId118" Type="http://schemas.openxmlformats.org/officeDocument/2006/relationships/image" Target="media/image43.png"/><Relationship Id="rId117" Type="http://schemas.openxmlformats.org/officeDocument/2006/relationships/image" Target="media/image42.png"/><Relationship Id="rId116" Type="http://schemas.openxmlformats.org/officeDocument/2006/relationships/image" Target="media/image41.png"/><Relationship Id="rId115" Type="http://schemas.openxmlformats.org/officeDocument/2006/relationships/image" Target="media/image40.png"/><Relationship Id="rId114" Type="http://schemas.openxmlformats.org/officeDocument/2006/relationships/image" Target="media/image39.png"/><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110" Type="http://schemas.openxmlformats.org/officeDocument/2006/relationships/image" Target="media/image35.png"/><Relationship Id="rId11" Type="http://schemas.openxmlformats.org/officeDocument/2006/relationships/header" Target="header4.xml"/><Relationship Id="rId109" Type="http://schemas.openxmlformats.org/officeDocument/2006/relationships/image" Target="media/image34.png"/><Relationship Id="rId108" Type="http://schemas.openxmlformats.org/officeDocument/2006/relationships/image" Target="media/image33.png"/><Relationship Id="rId107" Type="http://schemas.openxmlformats.org/officeDocument/2006/relationships/image" Target="media/image32.png"/><Relationship Id="rId106" Type="http://schemas.openxmlformats.org/officeDocument/2006/relationships/image" Target="media/image31.png"/><Relationship Id="rId105" Type="http://schemas.openxmlformats.org/officeDocument/2006/relationships/image" Target="media/image30.png"/><Relationship Id="rId104" Type="http://schemas.openxmlformats.org/officeDocument/2006/relationships/image" Target="media/image29.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5.png"/><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0200D1FE43848FE93997B1742F7B256"/>
        <w:style w:val=""/>
        <w:category>
          <w:name w:val="常规"/>
          <w:gallery w:val="placeholder"/>
        </w:category>
        <w:types>
          <w:type w:val="bbPlcHdr"/>
        </w:types>
        <w:behaviors>
          <w:behavior w:val="content"/>
        </w:behaviors>
        <w:description w:val=""/>
        <w:guid w:val="{C0801194-119D-4160-9DE0-690026B1A7BF}"/>
      </w:docPartPr>
      <w:docPartBody>
        <w:p>
          <w:pPr>
            <w:pStyle w:val="5"/>
          </w:pPr>
          <w:r>
            <w:rPr>
              <w:rStyle w:val="4"/>
              <w:rFonts w:hint="eastAsia"/>
            </w:rPr>
            <w:t>单击或点击此处输入文字。</w:t>
          </w:r>
        </w:p>
      </w:docPartBody>
    </w:docPart>
    <w:docPart>
      <w:docPartPr>
        <w:name w:val="EDB344AE9FEB486DAB8F102C4CD2E5A4"/>
        <w:style w:val=""/>
        <w:category>
          <w:name w:val="常规"/>
          <w:gallery w:val="placeholder"/>
        </w:category>
        <w:types>
          <w:type w:val="bbPlcHdr"/>
        </w:types>
        <w:behaviors>
          <w:behavior w:val="content"/>
        </w:behaviors>
        <w:description w:val=""/>
        <w:guid w:val="{401956C0-0001-4A8C-8983-6E4284334CF9}"/>
      </w:docPartPr>
      <w:docPartBody>
        <w:p>
          <w:pPr>
            <w:pStyle w:val="6"/>
          </w:pPr>
          <w:r>
            <w:rPr>
              <w:rStyle w:val="4"/>
              <w:rFonts w:hint="eastAsia"/>
            </w:rPr>
            <w:t>选择一项。</w:t>
          </w:r>
        </w:p>
      </w:docPartBody>
    </w:docPart>
    <w:docPart>
      <w:docPartPr>
        <w:name w:val="7E2026F663C44E75A12F018A84BF2799"/>
        <w:style w:val=""/>
        <w:category>
          <w:name w:val="常规"/>
          <w:gallery w:val="placeholder"/>
        </w:category>
        <w:types>
          <w:type w:val="bbPlcHdr"/>
        </w:types>
        <w:behaviors>
          <w:behavior w:val="content"/>
        </w:behaviors>
        <w:description w:val=""/>
        <w:guid w:val="{D94F3C84-922D-4D73-8AF7-7298272CC7B8}"/>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AEA"/>
    <w:rsid w:val="00091662"/>
    <w:rsid w:val="000A369C"/>
    <w:rsid w:val="000C7C46"/>
    <w:rsid w:val="001258E2"/>
    <w:rsid w:val="002D5C7D"/>
    <w:rsid w:val="002E7842"/>
    <w:rsid w:val="002F77D6"/>
    <w:rsid w:val="00407288"/>
    <w:rsid w:val="007E694C"/>
    <w:rsid w:val="00836E8A"/>
    <w:rsid w:val="00A075C2"/>
    <w:rsid w:val="00C15DBF"/>
    <w:rsid w:val="00D52046"/>
    <w:rsid w:val="00F40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0200D1FE43848FE93997B1742F7B2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DB344AE9FEB486DAB8F102C4CD2E5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7E2026F663C44E75A12F018A84BF279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23</Pages>
  <Words>5740</Words>
  <Characters>6084</Characters>
  <Lines>72</Lines>
  <Paragraphs>20</Paragraphs>
  <TotalTime>320</TotalTime>
  <ScaleCrop>false</ScaleCrop>
  <LinksUpToDate>false</LinksUpToDate>
  <CharactersWithSpaces>6440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2023-05-04T03:36:00Z</dcterms:created>
  <dc:creator>Administrator</dc:creator>
  <dc:description>&lt;config cover="true" show_menu="true" version="1.0.0" doctype="SDKXY"&gt;_x000d_
&lt;/config&gt;</dc:description>
  <cp:lastModifiedBy>朱智荣</cp:lastModifiedBy>
  <cp:lastPrinted>2023-05-19T08:02:00Z</cp:lastPrinted>
  <dcterms:modified xsi:type="dcterms:W3CDTF">2023-05-19T08:16:00Z</dcterms:modified>
  <dc:title>地方标准</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2052-11.1.0.14309</vt:lpwstr>
  </property>
  <property fmtid="{D5CDD505-2E9C-101B-9397-08002B2CF9AE}" pid="16" name="ICV">
    <vt:lpwstr>1D9B9C4475FA49F79E7C986048EC954E_12</vt:lpwstr>
  </property>
</Properties>
</file>